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79" w:rsidRDefault="00982479" w:rsidP="00977B46">
      <w:pPr>
        <w:spacing w:line="360" w:lineRule="auto"/>
        <w:contextualSpacing/>
        <w:jc w:val="both"/>
        <w:rPr>
          <w:rStyle w:val="Forte"/>
          <w:color w:val="000000"/>
          <w:sz w:val="27"/>
          <w:szCs w:val="27"/>
        </w:rPr>
      </w:pPr>
      <w:r>
        <w:rPr>
          <w:rStyle w:val="Forte"/>
          <w:color w:val="000000"/>
          <w:sz w:val="27"/>
          <w:szCs w:val="27"/>
        </w:rPr>
        <w:t>JUSTIFICATIVA DE INEXIGIBILIDADE DE CHAMAMENTO PÚBLICO </w:t>
      </w:r>
    </w:p>
    <w:p w:rsidR="000913B1" w:rsidRDefault="000913B1" w:rsidP="00977B46">
      <w:pPr>
        <w:spacing w:line="360" w:lineRule="auto"/>
        <w:contextualSpacing/>
        <w:jc w:val="both"/>
      </w:pPr>
    </w:p>
    <w:p w:rsidR="000913B1" w:rsidRDefault="00982479" w:rsidP="000913B1">
      <w:pPr>
        <w:contextualSpacing/>
      </w:pPr>
      <w:r>
        <w:t xml:space="preserve">O Município de Colombo/PR, por intermédio da </w:t>
      </w:r>
      <w:r w:rsidR="000913B1">
        <w:t>Secretaria</w:t>
      </w:r>
      <w:r>
        <w:t xml:space="preserve"> Municipal de Assistência Social, em conformidade com o art. 31 (inexigibilidade</w:t>
      </w:r>
      <w:r w:rsidR="00C557E5">
        <w:t>) da Lei Federal nº 13.019/2014 e art. 13, inciso II do Decreto Municipal 37/2017,</w:t>
      </w:r>
      <w:r>
        <w:t xml:space="preserve"> informa que foi autorizada a não realização de chamamento público, nos termos do Artigo 3º da Lei supracitada, para formalização de parceria mediante Acordo de Cooperação, a ser celebrada com  a </w:t>
      </w:r>
      <w:r w:rsidRPr="00C557E5">
        <w:rPr>
          <w:b/>
          <w:sz w:val="24"/>
          <w:szCs w:val="24"/>
          <w:lang w:val="pt-BR"/>
        </w:rPr>
        <w:t>Associação de Pais e Amigos dos Excepcionais de Colombo – APAE Colombo</w:t>
      </w:r>
      <w:r>
        <w:t>, de modo que se torna público a justificativa de dispensa/inexigibilidade</w:t>
      </w:r>
      <w:r w:rsidR="000913B1">
        <w:t>.</w:t>
      </w:r>
      <w:r>
        <w:t xml:space="preserve"> </w:t>
      </w:r>
    </w:p>
    <w:p w:rsidR="00982479" w:rsidRDefault="00982479" w:rsidP="000913B1">
      <w:pPr>
        <w:contextualSpacing/>
      </w:pPr>
      <w:r>
        <w:t xml:space="preserve">Nos termos do art. 32, § 2º da Lei Federal nº 13.019/2014, </w:t>
      </w:r>
      <w:r w:rsidR="00C557E5">
        <w:t xml:space="preserve"> e art. 14</w:t>
      </w:r>
      <w:r w:rsidR="005D3353">
        <w:t>,</w:t>
      </w:r>
      <w:r w:rsidR="00C557E5">
        <w:t xml:space="preserve"> § 2º do Decreto Municipal 37/2017, </w:t>
      </w:r>
      <w:r>
        <w:t xml:space="preserve">fica aberto o prazo de 05 (cinco) dias para eventuais impugnações ao presente, que deverão ser </w:t>
      </w:r>
      <w:r w:rsidR="005D3353">
        <w:t xml:space="preserve">protocoladas na </w:t>
      </w:r>
      <w:r w:rsidR="001B6F8C">
        <w:t>Divisão de Protocolo da Prefeitura Municicpal de Colombo</w:t>
      </w:r>
      <w:r>
        <w:t xml:space="preserve">, e posteriormente ser enviadas à Secretaria Muncipal de Assistência Social, para análise. </w:t>
      </w:r>
    </w:p>
    <w:p w:rsidR="00982479" w:rsidRDefault="00982479" w:rsidP="00977B46">
      <w:pPr>
        <w:spacing w:line="360" w:lineRule="auto"/>
        <w:contextualSpacing/>
        <w:jc w:val="both"/>
      </w:pPr>
    </w:p>
    <w:p w:rsidR="00982479" w:rsidRDefault="004954C3" w:rsidP="00977B46">
      <w:pPr>
        <w:spacing w:line="360" w:lineRule="auto"/>
        <w:contextualSpacing/>
        <w:jc w:val="both"/>
      </w:pPr>
      <w:r>
        <w:t>Colombo, 06</w:t>
      </w:r>
      <w:r w:rsidR="00982479">
        <w:t xml:space="preserve"> de </w:t>
      </w:r>
      <w:r w:rsidR="00A916A5">
        <w:t>setembro</w:t>
      </w:r>
      <w:r w:rsidR="00982479">
        <w:t xml:space="preserve"> de 2018. </w:t>
      </w:r>
    </w:p>
    <w:p w:rsidR="00982479" w:rsidRDefault="00982479" w:rsidP="00977B46">
      <w:pPr>
        <w:spacing w:line="360" w:lineRule="auto"/>
        <w:contextualSpacing/>
        <w:jc w:val="both"/>
      </w:pPr>
    </w:p>
    <w:p w:rsidR="00982479" w:rsidRDefault="00982479" w:rsidP="000913B1">
      <w:pPr>
        <w:contextualSpacing/>
        <w:jc w:val="both"/>
      </w:pPr>
      <w:r>
        <w:t>MARIA DA SILVA SOUZA</w:t>
      </w:r>
    </w:p>
    <w:p w:rsidR="007D5704" w:rsidRDefault="00982479" w:rsidP="000913B1">
      <w:pPr>
        <w:contextualSpacing/>
        <w:jc w:val="both"/>
        <w:rPr>
          <w:b/>
          <w:sz w:val="24"/>
          <w:szCs w:val="24"/>
          <w:lang w:val="pt-BR"/>
        </w:rPr>
      </w:pPr>
      <w:r>
        <w:t>Secretária Municipal de Assistência Social</w:t>
      </w:r>
    </w:p>
    <w:p w:rsidR="007D5704" w:rsidRDefault="007D5704" w:rsidP="000913B1">
      <w:pPr>
        <w:contextualSpacing/>
        <w:jc w:val="both"/>
        <w:rPr>
          <w:b/>
          <w:sz w:val="24"/>
          <w:szCs w:val="24"/>
          <w:lang w:val="pt-BR"/>
        </w:rPr>
      </w:pPr>
    </w:p>
    <w:p w:rsidR="00982479" w:rsidRDefault="00982479" w:rsidP="00977B46">
      <w:pPr>
        <w:spacing w:line="360" w:lineRule="auto"/>
        <w:contextualSpacing/>
        <w:jc w:val="both"/>
        <w:rPr>
          <w:b/>
          <w:sz w:val="24"/>
          <w:szCs w:val="24"/>
          <w:lang w:val="pt-BR"/>
        </w:rPr>
      </w:pPr>
    </w:p>
    <w:p w:rsidR="002A6CDE" w:rsidRDefault="002A6CDE" w:rsidP="00977B46">
      <w:pPr>
        <w:spacing w:line="360" w:lineRule="auto"/>
        <w:contextualSpacing/>
        <w:jc w:val="both"/>
        <w:rPr>
          <w:b/>
          <w:sz w:val="24"/>
          <w:szCs w:val="24"/>
          <w:lang w:val="pt-BR"/>
        </w:rPr>
      </w:pPr>
      <w:r w:rsidRPr="00977B46">
        <w:rPr>
          <w:b/>
          <w:sz w:val="24"/>
          <w:szCs w:val="24"/>
          <w:lang w:val="pt-BR"/>
        </w:rPr>
        <w:t xml:space="preserve">PROCESSO N° </w:t>
      </w:r>
      <w:r w:rsidR="00F075EA" w:rsidRPr="00977B46">
        <w:rPr>
          <w:b/>
          <w:sz w:val="24"/>
          <w:szCs w:val="24"/>
          <w:lang w:val="pt-BR"/>
        </w:rPr>
        <w:t>19400/2018</w:t>
      </w:r>
    </w:p>
    <w:p w:rsidR="006E35C3" w:rsidRPr="00977B46" w:rsidRDefault="006E35C3" w:rsidP="00977B46">
      <w:pPr>
        <w:spacing w:line="360" w:lineRule="auto"/>
        <w:contextualSpacing/>
        <w:jc w:val="both"/>
        <w:rPr>
          <w:b/>
          <w:sz w:val="24"/>
          <w:szCs w:val="24"/>
          <w:lang w:val="pt-BR"/>
        </w:rPr>
      </w:pPr>
    </w:p>
    <w:p w:rsidR="002A6CDE" w:rsidRPr="00977B46" w:rsidRDefault="002A6CDE" w:rsidP="006E35C3">
      <w:pPr>
        <w:spacing w:line="360" w:lineRule="auto"/>
        <w:contextualSpacing/>
        <w:jc w:val="both"/>
        <w:rPr>
          <w:b/>
          <w:sz w:val="24"/>
          <w:szCs w:val="24"/>
          <w:lang w:val="pt-BR"/>
        </w:rPr>
      </w:pPr>
      <w:r w:rsidRPr="00977B46">
        <w:rPr>
          <w:b/>
          <w:sz w:val="24"/>
          <w:szCs w:val="24"/>
          <w:lang w:val="pt-BR"/>
        </w:rPr>
        <w:t xml:space="preserve">ASSUNTO: JUSTIFICATIVA DA SECRETARIA MUNICIPAL DE </w:t>
      </w:r>
      <w:r w:rsidR="006E35C3" w:rsidRPr="00977B46">
        <w:rPr>
          <w:b/>
          <w:sz w:val="24"/>
          <w:szCs w:val="24"/>
          <w:lang w:val="pt-BR"/>
        </w:rPr>
        <w:t>ASSISTÊNCIA SOCIAL</w:t>
      </w:r>
    </w:p>
    <w:p w:rsidR="00BD2E8A" w:rsidRDefault="00BD2E8A" w:rsidP="00BD2E8A">
      <w:pPr>
        <w:spacing w:line="360" w:lineRule="auto"/>
        <w:contextualSpacing/>
        <w:jc w:val="center"/>
        <w:rPr>
          <w:b/>
          <w:sz w:val="24"/>
          <w:szCs w:val="24"/>
          <w:lang w:val="pt-BR"/>
        </w:rPr>
      </w:pPr>
    </w:p>
    <w:p w:rsidR="002A6CDE" w:rsidRDefault="002A6CDE" w:rsidP="00BD2E8A">
      <w:pPr>
        <w:spacing w:line="360" w:lineRule="auto"/>
        <w:contextualSpacing/>
        <w:jc w:val="center"/>
        <w:rPr>
          <w:b/>
          <w:sz w:val="24"/>
          <w:szCs w:val="24"/>
          <w:lang w:val="pt-BR"/>
        </w:rPr>
      </w:pPr>
      <w:r w:rsidRPr="00977B46">
        <w:rPr>
          <w:b/>
          <w:sz w:val="24"/>
          <w:szCs w:val="24"/>
          <w:lang w:val="pt-BR"/>
        </w:rPr>
        <w:t>JUSTIFICATIVA</w:t>
      </w:r>
    </w:p>
    <w:p w:rsidR="006E35C3" w:rsidRPr="00977B46" w:rsidRDefault="006E35C3" w:rsidP="006E35C3">
      <w:pPr>
        <w:spacing w:line="360" w:lineRule="auto"/>
        <w:contextualSpacing/>
        <w:jc w:val="both"/>
        <w:rPr>
          <w:b/>
          <w:sz w:val="24"/>
          <w:szCs w:val="24"/>
          <w:lang w:val="pt-BR"/>
        </w:rPr>
      </w:pPr>
    </w:p>
    <w:p w:rsidR="002A6CDE" w:rsidRPr="00977B46" w:rsidRDefault="002A6CDE" w:rsidP="00977B46">
      <w:pPr>
        <w:spacing w:line="360" w:lineRule="auto"/>
        <w:contextualSpacing/>
        <w:jc w:val="both"/>
        <w:rPr>
          <w:sz w:val="24"/>
          <w:szCs w:val="24"/>
          <w:lang w:val="pt-BR"/>
        </w:rPr>
      </w:pPr>
      <w:r w:rsidRPr="00977B46">
        <w:rPr>
          <w:b/>
          <w:sz w:val="24"/>
          <w:szCs w:val="24"/>
          <w:lang w:val="pt-BR"/>
        </w:rPr>
        <w:t xml:space="preserve">Órgão Gestor: </w:t>
      </w:r>
      <w:r w:rsidRPr="00977B46">
        <w:rPr>
          <w:sz w:val="24"/>
          <w:szCs w:val="24"/>
          <w:lang w:val="pt-BR"/>
        </w:rPr>
        <w:t>Secretaria de Assistência Social – SEMAS</w:t>
      </w:r>
    </w:p>
    <w:p w:rsidR="002A6CDE" w:rsidRPr="00977B46" w:rsidRDefault="002A6CDE" w:rsidP="00977B46">
      <w:pPr>
        <w:spacing w:line="360" w:lineRule="auto"/>
        <w:contextualSpacing/>
        <w:jc w:val="both"/>
        <w:rPr>
          <w:sz w:val="24"/>
          <w:szCs w:val="24"/>
          <w:lang w:val="pt-BR"/>
        </w:rPr>
      </w:pPr>
      <w:r w:rsidRPr="00977B46">
        <w:rPr>
          <w:b/>
          <w:sz w:val="24"/>
          <w:szCs w:val="24"/>
          <w:lang w:val="pt-BR"/>
        </w:rPr>
        <w:t xml:space="preserve">Organização da Sociedade Civil: </w:t>
      </w:r>
      <w:r w:rsidRPr="00977B46">
        <w:rPr>
          <w:sz w:val="24"/>
          <w:szCs w:val="24"/>
          <w:lang w:val="pt-BR"/>
        </w:rPr>
        <w:t xml:space="preserve">Associação de Pais e Amigos dos Excepcionais de </w:t>
      </w:r>
      <w:r w:rsidR="00F075EA" w:rsidRPr="00977B46">
        <w:rPr>
          <w:sz w:val="24"/>
          <w:szCs w:val="24"/>
          <w:lang w:val="pt-BR"/>
        </w:rPr>
        <w:t>Colombo</w:t>
      </w:r>
      <w:r w:rsidR="007D5704">
        <w:rPr>
          <w:sz w:val="24"/>
          <w:szCs w:val="24"/>
          <w:lang w:val="pt-BR"/>
        </w:rPr>
        <w:t xml:space="preserve"> – APAE Colombo</w:t>
      </w:r>
    </w:p>
    <w:p w:rsidR="002A6CDE" w:rsidRPr="00977B46" w:rsidRDefault="002A6CDE" w:rsidP="00977B46">
      <w:pPr>
        <w:spacing w:line="360" w:lineRule="auto"/>
        <w:contextualSpacing/>
        <w:jc w:val="both"/>
        <w:rPr>
          <w:bCs/>
          <w:sz w:val="24"/>
          <w:szCs w:val="24"/>
          <w:lang w:val="pt-BR"/>
        </w:rPr>
      </w:pPr>
      <w:r w:rsidRPr="00977B46">
        <w:rPr>
          <w:b/>
          <w:sz w:val="24"/>
          <w:szCs w:val="24"/>
          <w:lang w:val="pt-BR"/>
        </w:rPr>
        <w:t>CNPJ da OSC:</w:t>
      </w:r>
      <w:r w:rsidRPr="00977B46">
        <w:rPr>
          <w:sz w:val="24"/>
          <w:szCs w:val="24"/>
          <w:lang w:val="pt-BR"/>
        </w:rPr>
        <w:t xml:space="preserve"> </w:t>
      </w:r>
      <w:r w:rsidR="00F075EA" w:rsidRPr="00977B46">
        <w:rPr>
          <w:bCs/>
          <w:sz w:val="24"/>
          <w:szCs w:val="24"/>
          <w:lang w:val="pt-BR"/>
        </w:rPr>
        <w:t>82.258.120/0001-58</w:t>
      </w:r>
    </w:p>
    <w:p w:rsidR="002A6CDE" w:rsidRPr="00977B46" w:rsidRDefault="002A6CDE" w:rsidP="00977B46">
      <w:pPr>
        <w:spacing w:line="360" w:lineRule="auto"/>
        <w:contextualSpacing/>
        <w:jc w:val="both"/>
        <w:rPr>
          <w:bCs/>
          <w:sz w:val="24"/>
          <w:szCs w:val="24"/>
          <w:lang w:val="pt-BR"/>
        </w:rPr>
      </w:pPr>
      <w:r w:rsidRPr="00977B46">
        <w:rPr>
          <w:b/>
          <w:bCs/>
          <w:sz w:val="24"/>
          <w:szCs w:val="24"/>
          <w:lang w:val="pt-BR"/>
        </w:rPr>
        <w:t xml:space="preserve">Tipo de Instrumento: </w:t>
      </w:r>
      <w:r w:rsidR="00F075EA" w:rsidRPr="00977B46">
        <w:rPr>
          <w:bCs/>
          <w:sz w:val="24"/>
          <w:szCs w:val="24"/>
          <w:lang w:val="pt-BR"/>
        </w:rPr>
        <w:t>Acordo de Cooperação</w:t>
      </w:r>
    </w:p>
    <w:p w:rsidR="002A6CDE" w:rsidRDefault="002A6CDE" w:rsidP="00977B46">
      <w:pPr>
        <w:spacing w:line="360" w:lineRule="auto"/>
        <w:contextualSpacing/>
        <w:jc w:val="both"/>
        <w:rPr>
          <w:sz w:val="24"/>
          <w:szCs w:val="24"/>
          <w:lang w:val="pt-BR"/>
        </w:rPr>
      </w:pPr>
      <w:bookmarkStart w:id="0" w:name="_GoBack"/>
      <w:bookmarkEnd w:id="0"/>
      <w:r w:rsidRPr="00977B46">
        <w:rPr>
          <w:b/>
          <w:sz w:val="24"/>
          <w:szCs w:val="24"/>
          <w:lang w:val="pt-BR"/>
        </w:rPr>
        <w:t>Referência:</w:t>
      </w:r>
      <w:r w:rsidRPr="00977B46">
        <w:rPr>
          <w:sz w:val="24"/>
          <w:szCs w:val="24"/>
          <w:lang w:val="pt-BR"/>
        </w:rPr>
        <w:t xml:space="preserve"> Inexigibilidade de chamamento público – Repasse às Organizações de Sociedade Civil – OSCs – </w:t>
      </w:r>
      <w:r w:rsidR="00F075EA" w:rsidRPr="00977B46">
        <w:rPr>
          <w:sz w:val="24"/>
          <w:szCs w:val="24"/>
          <w:lang w:val="pt-BR"/>
        </w:rPr>
        <w:t>Acordo de Cooperação</w:t>
      </w:r>
      <w:r w:rsidRPr="00977B46">
        <w:rPr>
          <w:sz w:val="24"/>
          <w:szCs w:val="24"/>
          <w:lang w:val="pt-BR"/>
        </w:rPr>
        <w:t>.</w:t>
      </w:r>
    </w:p>
    <w:p w:rsidR="006E35C3" w:rsidRPr="00977B46" w:rsidRDefault="006E35C3" w:rsidP="00977B46">
      <w:pPr>
        <w:spacing w:line="360" w:lineRule="auto"/>
        <w:contextualSpacing/>
        <w:jc w:val="both"/>
        <w:rPr>
          <w:sz w:val="24"/>
          <w:szCs w:val="24"/>
          <w:lang w:val="pt-BR"/>
        </w:rPr>
      </w:pPr>
    </w:p>
    <w:p w:rsidR="002A6CDE" w:rsidRPr="00977B46" w:rsidRDefault="002A6CDE" w:rsidP="00977B46">
      <w:pPr>
        <w:spacing w:line="360" w:lineRule="auto"/>
        <w:contextualSpacing/>
        <w:jc w:val="both"/>
        <w:rPr>
          <w:sz w:val="24"/>
          <w:szCs w:val="24"/>
          <w:lang w:val="pt-BR"/>
        </w:rPr>
      </w:pPr>
      <w:r w:rsidRPr="00977B46">
        <w:rPr>
          <w:b/>
          <w:sz w:val="24"/>
          <w:szCs w:val="24"/>
          <w:lang w:val="pt-BR"/>
        </w:rPr>
        <w:t>Objeto proposto:</w:t>
      </w:r>
      <w:r w:rsidRPr="00977B46">
        <w:rPr>
          <w:sz w:val="24"/>
          <w:szCs w:val="24"/>
          <w:lang w:val="pt-BR"/>
        </w:rPr>
        <w:t xml:space="preserve"> </w:t>
      </w:r>
      <w:r w:rsidR="00F075EA" w:rsidRPr="00977B46">
        <w:rPr>
          <w:sz w:val="24"/>
          <w:szCs w:val="24"/>
          <w:lang w:val="pt-BR"/>
        </w:rPr>
        <w:t>Defesa de direitos da pessoa com deficiência intelectual e múltipla desde a concepção até a terceira idade, prestação de serviços e apoio a família</w:t>
      </w:r>
      <w:r w:rsidRPr="00977B46">
        <w:rPr>
          <w:sz w:val="24"/>
          <w:szCs w:val="24"/>
          <w:lang w:val="pt-BR"/>
        </w:rPr>
        <w:t>.</w:t>
      </w:r>
    </w:p>
    <w:p w:rsidR="002A6CDE" w:rsidRPr="00977B46" w:rsidRDefault="002A6CDE" w:rsidP="00977B46">
      <w:pPr>
        <w:tabs>
          <w:tab w:val="left" w:pos="366"/>
        </w:tabs>
        <w:spacing w:line="360" w:lineRule="auto"/>
        <w:contextualSpacing/>
        <w:jc w:val="both"/>
        <w:rPr>
          <w:sz w:val="24"/>
          <w:szCs w:val="24"/>
          <w:lang w:val="pt-BR"/>
        </w:rPr>
      </w:pPr>
      <w:r w:rsidRPr="00977B46">
        <w:rPr>
          <w:sz w:val="24"/>
          <w:szCs w:val="24"/>
          <w:lang w:val="pt-BR"/>
        </w:rPr>
        <w:t>O parecer da Secretaria Municipal de Assistência Social é no sentido de</w:t>
      </w:r>
      <w:r w:rsidRPr="00977B46">
        <w:rPr>
          <w:spacing w:val="-3"/>
          <w:sz w:val="24"/>
          <w:szCs w:val="24"/>
          <w:lang w:val="pt-BR"/>
        </w:rPr>
        <w:t xml:space="preserve"> </w:t>
      </w:r>
      <w:r w:rsidRPr="00977B46">
        <w:rPr>
          <w:sz w:val="24"/>
          <w:szCs w:val="24"/>
          <w:lang w:val="pt-BR"/>
        </w:rPr>
        <w:t>que:</w:t>
      </w:r>
    </w:p>
    <w:p w:rsidR="002A6CDE" w:rsidRPr="00977B46" w:rsidRDefault="002A6CDE" w:rsidP="00977B46">
      <w:pPr>
        <w:pStyle w:val="PargrafodaLista"/>
        <w:numPr>
          <w:ilvl w:val="1"/>
          <w:numId w:val="1"/>
        </w:numPr>
        <w:tabs>
          <w:tab w:val="left" w:pos="284"/>
        </w:tabs>
        <w:spacing w:line="360" w:lineRule="auto"/>
        <w:ind w:left="0" w:right="0" w:firstLine="0"/>
        <w:contextualSpacing/>
        <w:jc w:val="both"/>
        <w:rPr>
          <w:sz w:val="24"/>
          <w:szCs w:val="24"/>
          <w:lang w:val="pt-BR"/>
        </w:rPr>
      </w:pPr>
      <w:r w:rsidRPr="00977B46">
        <w:rPr>
          <w:sz w:val="24"/>
          <w:szCs w:val="24"/>
          <w:lang w:val="pt-BR"/>
        </w:rPr>
        <w:t xml:space="preserve">Os objetivos e finalidades institucionais, bem como as instalações físicas, equipamentos e a capacidade técnica operacional da Associação de Pais e Amigos dos Excepcionais de </w:t>
      </w:r>
      <w:r w:rsidR="00F075EA" w:rsidRPr="00977B46">
        <w:rPr>
          <w:sz w:val="24"/>
          <w:szCs w:val="24"/>
          <w:lang w:val="pt-BR"/>
        </w:rPr>
        <w:t>Colombo</w:t>
      </w:r>
      <w:r w:rsidRPr="00977B46">
        <w:rPr>
          <w:sz w:val="24"/>
          <w:szCs w:val="24"/>
          <w:lang w:val="pt-BR"/>
        </w:rPr>
        <w:t>, foram avaliados e são compatíveis com o objeto;</w:t>
      </w:r>
    </w:p>
    <w:p w:rsidR="002A6CDE" w:rsidRPr="00977B46" w:rsidRDefault="002A6CDE" w:rsidP="00977B46">
      <w:pPr>
        <w:pStyle w:val="PargrafodaLista"/>
        <w:numPr>
          <w:ilvl w:val="1"/>
          <w:numId w:val="1"/>
        </w:numPr>
        <w:tabs>
          <w:tab w:val="left" w:pos="284"/>
        </w:tabs>
        <w:spacing w:line="360" w:lineRule="auto"/>
        <w:ind w:left="0" w:right="0" w:firstLine="0"/>
        <w:contextualSpacing/>
        <w:jc w:val="both"/>
        <w:rPr>
          <w:sz w:val="24"/>
          <w:szCs w:val="24"/>
          <w:lang w:val="pt-BR"/>
        </w:rPr>
      </w:pPr>
      <w:r w:rsidRPr="00977B46">
        <w:rPr>
          <w:sz w:val="24"/>
          <w:szCs w:val="24"/>
          <w:lang w:val="pt-BR"/>
        </w:rPr>
        <w:t>A nossa equipe técnica aprov</w:t>
      </w:r>
      <w:r w:rsidR="00F075EA" w:rsidRPr="00977B46">
        <w:rPr>
          <w:sz w:val="24"/>
          <w:szCs w:val="24"/>
          <w:lang w:val="pt-BR"/>
        </w:rPr>
        <w:t>ou</w:t>
      </w:r>
      <w:r w:rsidRPr="00977B46">
        <w:rPr>
          <w:sz w:val="24"/>
          <w:szCs w:val="24"/>
          <w:lang w:val="pt-BR"/>
        </w:rPr>
        <w:t xml:space="preserve"> o Plano de Trabalho</w:t>
      </w:r>
      <w:r w:rsidRPr="00977B46">
        <w:rPr>
          <w:spacing w:val="-18"/>
          <w:sz w:val="24"/>
          <w:szCs w:val="24"/>
          <w:lang w:val="pt-BR"/>
        </w:rPr>
        <w:t xml:space="preserve"> </w:t>
      </w:r>
      <w:r w:rsidRPr="00977B46">
        <w:rPr>
          <w:sz w:val="24"/>
          <w:szCs w:val="24"/>
          <w:lang w:val="pt-BR"/>
        </w:rPr>
        <w:t>apresentado</w:t>
      </w:r>
      <w:r w:rsidR="00F075EA" w:rsidRPr="00977B46">
        <w:rPr>
          <w:sz w:val="24"/>
          <w:szCs w:val="24"/>
          <w:lang w:val="pt-BR"/>
        </w:rPr>
        <w:t xml:space="preserve">, conforme parecer </w:t>
      </w:r>
      <w:r w:rsidR="00F075EA" w:rsidRPr="00977B46">
        <w:rPr>
          <w:sz w:val="24"/>
          <w:szCs w:val="24"/>
          <w:lang w:val="pt-BR"/>
        </w:rPr>
        <w:lastRenderedPageBreak/>
        <w:t>em anexo</w:t>
      </w:r>
      <w:r w:rsidRPr="00977B46">
        <w:rPr>
          <w:sz w:val="24"/>
          <w:szCs w:val="24"/>
          <w:lang w:val="pt-BR"/>
        </w:rPr>
        <w:t>;</w:t>
      </w:r>
    </w:p>
    <w:p w:rsidR="002A6CDE" w:rsidRPr="00977B46" w:rsidRDefault="002A6CDE" w:rsidP="00977B46">
      <w:pPr>
        <w:pStyle w:val="PargrafodaLista"/>
        <w:numPr>
          <w:ilvl w:val="1"/>
          <w:numId w:val="1"/>
        </w:numPr>
        <w:tabs>
          <w:tab w:val="left" w:pos="284"/>
        </w:tabs>
        <w:spacing w:line="360" w:lineRule="auto"/>
        <w:ind w:left="0" w:right="0" w:firstLine="0"/>
        <w:contextualSpacing/>
        <w:jc w:val="both"/>
        <w:rPr>
          <w:sz w:val="24"/>
          <w:szCs w:val="24"/>
          <w:lang w:val="pt-BR"/>
        </w:rPr>
      </w:pPr>
      <w:r w:rsidRPr="00977B46">
        <w:rPr>
          <w:sz w:val="24"/>
          <w:szCs w:val="24"/>
          <w:lang w:val="pt-BR"/>
        </w:rPr>
        <w:t>Quanto ao mérito das propostas contidas nas referidas propostas técnicas, está em conformidade com a modalidade de parceria</w:t>
      </w:r>
      <w:r w:rsidRPr="00977B46">
        <w:rPr>
          <w:spacing w:val="-10"/>
          <w:sz w:val="24"/>
          <w:szCs w:val="24"/>
          <w:lang w:val="pt-BR"/>
        </w:rPr>
        <w:t xml:space="preserve"> </w:t>
      </w:r>
      <w:r w:rsidRPr="00977B46">
        <w:rPr>
          <w:sz w:val="24"/>
          <w:szCs w:val="24"/>
          <w:lang w:val="pt-BR"/>
        </w:rPr>
        <w:t>adotada;</w:t>
      </w:r>
    </w:p>
    <w:p w:rsidR="002A6CDE" w:rsidRPr="00977B46" w:rsidRDefault="002A6CDE" w:rsidP="00977B46">
      <w:pPr>
        <w:pStyle w:val="PargrafodaLista"/>
        <w:numPr>
          <w:ilvl w:val="1"/>
          <w:numId w:val="1"/>
        </w:numPr>
        <w:tabs>
          <w:tab w:val="left" w:pos="284"/>
        </w:tabs>
        <w:spacing w:line="360" w:lineRule="auto"/>
        <w:ind w:left="0" w:right="0" w:firstLine="0"/>
        <w:contextualSpacing/>
        <w:jc w:val="both"/>
        <w:rPr>
          <w:sz w:val="24"/>
          <w:szCs w:val="24"/>
          <w:lang w:val="pt-BR"/>
        </w:rPr>
      </w:pPr>
      <w:r w:rsidRPr="00977B46">
        <w:rPr>
          <w:sz w:val="24"/>
          <w:szCs w:val="24"/>
          <w:lang w:val="pt-BR"/>
        </w:rPr>
        <w:t>Há identidade e reciprocidade de interesse das partes na realização, em mútua cooperação, da parceria</w:t>
      </w:r>
      <w:r w:rsidRPr="00977B46">
        <w:rPr>
          <w:spacing w:val="-6"/>
          <w:sz w:val="24"/>
          <w:szCs w:val="24"/>
          <w:lang w:val="pt-BR"/>
        </w:rPr>
        <w:t xml:space="preserve"> </w:t>
      </w:r>
      <w:r w:rsidRPr="00977B46">
        <w:rPr>
          <w:sz w:val="24"/>
          <w:szCs w:val="24"/>
          <w:lang w:val="pt-BR"/>
        </w:rPr>
        <w:t>prevista;</w:t>
      </w:r>
    </w:p>
    <w:p w:rsidR="002A6CDE" w:rsidRPr="00977B46" w:rsidRDefault="002A6CDE" w:rsidP="00977B46">
      <w:pPr>
        <w:pStyle w:val="PargrafodaLista"/>
        <w:numPr>
          <w:ilvl w:val="1"/>
          <w:numId w:val="1"/>
        </w:numPr>
        <w:tabs>
          <w:tab w:val="left" w:pos="284"/>
        </w:tabs>
        <w:spacing w:line="360" w:lineRule="auto"/>
        <w:ind w:left="0" w:right="0" w:firstLine="0"/>
        <w:contextualSpacing/>
        <w:jc w:val="both"/>
        <w:rPr>
          <w:sz w:val="24"/>
          <w:szCs w:val="24"/>
          <w:lang w:val="pt-BR"/>
        </w:rPr>
      </w:pPr>
      <w:r w:rsidRPr="00977B46">
        <w:rPr>
          <w:sz w:val="24"/>
          <w:szCs w:val="24"/>
          <w:lang w:val="pt-BR"/>
        </w:rPr>
        <w:t>O Monitoramento e a Avaliação da Parceria serão realizados através da equipe técnica da Secret</w:t>
      </w:r>
      <w:r w:rsidR="00F075EA" w:rsidRPr="00977B46">
        <w:rPr>
          <w:sz w:val="24"/>
          <w:szCs w:val="24"/>
          <w:lang w:val="pt-BR"/>
        </w:rPr>
        <w:t>a</w:t>
      </w:r>
      <w:r w:rsidRPr="00977B46">
        <w:rPr>
          <w:sz w:val="24"/>
          <w:szCs w:val="24"/>
          <w:lang w:val="pt-BR"/>
        </w:rPr>
        <w:t xml:space="preserve">ria Municipal de </w:t>
      </w:r>
      <w:r w:rsidR="007D5704" w:rsidRPr="00977B46">
        <w:rPr>
          <w:sz w:val="24"/>
          <w:szCs w:val="24"/>
          <w:lang w:val="pt-BR"/>
        </w:rPr>
        <w:t>Assistência Social</w:t>
      </w:r>
      <w:r w:rsidRPr="00977B46">
        <w:rPr>
          <w:sz w:val="24"/>
          <w:szCs w:val="24"/>
          <w:lang w:val="pt-BR"/>
        </w:rPr>
        <w:t>, pelo Gestor de Parceria</w:t>
      </w:r>
      <w:r w:rsidR="002B52BE" w:rsidRPr="00977B46">
        <w:rPr>
          <w:sz w:val="24"/>
          <w:szCs w:val="24"/>
          <w:lang w:val="pt-BR"/>
        </w:rPr>
        <w:t>.</w:t>
      </w:r>
    </w:p>
    <w:p w:rsidR="002A6CDE" w:rsidRDefault="002A6CDE" w:rsidP="00977B46">
      <w:pPr>
        <w:pStyle w:val="PargrafodaLista"/>
        <w:numPr>
          <w:ilvl w:val="1"/>
          <w:numId w:val="1"/>
        </w:numPr>
        <w:tabs>
          <w:tab w:val="left" w:pos="284"/>
        </w:tabs>
        <w:spacing w:line="360" w:lineRule="auto"/>
        <w:ind w:left="0" w:right="0" w:firstLine="0"/>
        <w:contextualSpacing/>
        <w:jc w:val="both"/>
        <w:rPr>
          <w:sz w:val="24"/>
          <w:szCs w:val="24"/>
          <w:lang w:val="pt-BR"/>
        </w:rPr>
      </w:pPr>
      <w:r w:rsidRPr="00977B46">
        <w:rPr>
          <w:sz w:val="24"/>
          <w:szCs w:val="24"/>
          <w:lang w:val="pt-BR"/>
        </w:rPr>
        <w:t>Fica designada como Gestora da Parceria,</w:t>
      </w:r>
      <w:r w:rsidR="002B52BE" w:rsidRPr="00977B46">
        <w:rPr>
          <w:sz w:val="24"/>
          <w:szCs w:val="24"/>
          <w:lang w:val="pt-BR"/>
        </w:rPr>
        <w:t xml:space="preserve"> Nilva Volpi, Diretora da Proteção Social Especial</w:t>
      </w:r>
      <w:r w:rsidRPr="00977B46">
        <w:rPr>
          <w:sz w:val="24"/>
          <w:szCs w:val="24"/>
          <w:lang w:val="pt-BR"/>
        </w:rPr>
        <w:t>.</w:t>
      </w:r>
    </w:p>
    <w:p w:rsidR="00F76AB1" w:rsidRDefault="00F76AB1" w:rsidP="00F76AB1">
      <w:pPr>
        <w:pStyle w:val="PargrafodaLista"/>
        <w:tabs>
          <w:tab w:val="left" w:pos="284"/>
        </w:tabs>
        <w:spacing w:line="360" w:lineRule="auto"/>
        <w:ind w:left="101" w:right="0" w:firstLine="0"/>
        <w:contextualSpacing/>
        <w:jc w:val="both"/>
        <w:rPr>
          <w:sz w:val="24"/>
          <w:szCs w:val="24"/>
          <w:lang w:val="pt-BR"/>
        </w:rPr>
      </w:pPr>
    </w:p>
    <w:p w:rsidR="00F76AB1" w:rsidRPr="00977B46" w:rsidRDefault="00F76AB1" w:rsidP="00F76AB1">
      <w:pPr>
        <w:pStyle w:val="PargrafodaLista"/>
        <w:tabs>
          <w:tab w:val="left" w:pos="284"/>
        </w:tabs>
        <w:spacing w:line="360" w:lineRule="auto"/>
        <w:ind w:left="101" w:right="0" w:firstLine="0"/>
        <w:contextualSpacing/>
        <w:jc w:val="both"/>
        <w:rPr>
          <w:sz w:val="24"/>
          <w:szCs w:val="24"/>
          <w:lang w:val="pt-BR"/>
        </w:rPr>
      </w:pPr>
    </w:p>
    <w:p w:rsidR="00F76AB1" w:rsidRDefault="002A6CDE" w:rsidP="00977B46">
      <w:pPr>
        <w:spacing w:line="360" w:lineRule="auto"/>
        <w:contextualSpacing/>
        <w:jc w:val="both"/>
        <w:rPr>
          <w:sz w:val="24"/>
          <w:szCs w:val="24"/>
          <w:lang w:val="pt-BR"/>
        </w:rPr>
      </w:pPr>
      <w:r w:rsidRPr="00977B46">
        <w:rPr>
          <w:b/>
          <w:sz w:val="24"/>
          <w:szCs w:val="24"/>
          <w:lang w:val="pt-BR"/>
        </w:rPr>
        <w:t xml:space="preserve">Justificativa: </w:t>
      </w:r>
      <w:r w:rsidRPr="00977B46">
        <w:rPr>
          <w:sz w:val="24"/>
          <w:szCs w:val="24"/>
          <w:lang w:val="pt-BR"/>
        </w:rPr>
        <w:t xml:space="preserve">A entidade vem desenvolvendo </w:t>
      </w:r>
      <w:r w:rsidR="006E35C3" w:rsidRPr="00977B46">
        <w:rPr>
          <w:sz w:val="24"/>
          <w:szCs w:val="24"/>
          <w:lang w:val="pt-BR"/>
        </w:rPr>
        <w:t>atividades voltadas</w:t>
      </w:r>
      <w:r w:rsidR="00B519AF" w:rsidRPr="00977B46">
        <w:rPr>
          <w:sz w:val="24"/>
          <w:szCs w:val="24"/>
          <w:lang w:val="pt-BR"/>
        </w:rPr>
        <w:t xml:space="preserve"> a serviços de educação, </w:t>
      </w:r>
    </w:p>
    <w:p w:rsidR="002A6CDE" w:rsidRPr="00977B46" w:rsidRDefault="00B519AF" w:rsidP="00977B46">
      <w:pPr>
        <w:spacing w:line="360" w:lineRule="auto"/>
        <w:contextualSpacing/>
        <w:jc w:val="both"/>
        <w:rPr>
          <w:sz w:val="24"/>
          <w:szCs w:val="24"/>
          <w:lang w:val="pt-BR"/>
        </w:rPr>
      </w:pPr>
      <w:r w:rsidRPr="00977B46">
        <w:rPr>
          <w:sz w:val="24"/>
          <w:szCs w:val="24"/>
          <w:lang w:val="pt-BR"/>
        </w:rPr>
        <w:t xml:space="preserve">saúde e assistência social, estando credenciada pelo órgão gestor dessas respectivas políticas públicas, </w:t>
      </w:r>
      <w:r w:rsidR="002A6CDE" w:rsidRPr="00977B46">
        <w:rPr>
          <w:sz w:val="24"/>
          <w:szCs w:val="24"/>
          <w:lang w:val="pt-BR"/>
        </w:rPr>
        <w:t xml:space="preserve">em parceria com o poder público municipal de maneira satisfatória há aproximadamente </w:t>
      </w:r>
      <w:r w:rsidR="002B52BE" w:rsidRPr="00977B46">
        <w:rPr>
          <w:sz w:val="24"/>
          <w:szCs w:val="24"/>
          <w:lang w:val="pt-BR"/>
        </w:rPr>
        <w:t xml:space="preserve">23 </w:t>
      </w:r>
      <w:r w:rsidR="002A6CDE" w:rsidRPr="00977B46">
        <w:rPr>
          <w:sz w:val="24"/>
          <w:szCs w:val="24"/>
          <w:lang w:val="pt-BR"/>
        </w:rPr>
        <w:t>(</w:t>
      </w:r>
      <w:r w:rsidR="002B52BE" w:rsidRPr="00977B46">
        <w:rPr>
          <w:sz w:val="24"/>
          <w:szCs w:val="24"/>
          <w:lang w:val="pt-BR"/>
        </w:rPr>
        <w:t xml:space="preserve">vinte e </w:t>
      </w:r>
      <w:r w:rsidR="00B11688" w:rsidRPr="00977B46">
        <w:rPr>
          <w:sz w:val="24"/>
          <w:szCs w:val="24"/>
          <w:lang w:val="pt-BR"/>
        </w:rPr>
        <w:t>três</w:t>
      </w:r>
      <w:r w:rsidR="002A6CDE" w:rsidRPr="00977B46">
        <w:rPr>
          <w:sz w:val="24"/>
          <w:szCs w:val="24"/>
          <w:lang w:val="pt-BR"/>
        </w:rPr>
        <w:t>) anos</w:t>
      </w:r>
      <w:r w:rsidRPr="00977B46">
        <w:rPr>
          <w:sz w:val="24"/>
          <w:szCs w:val="24"/>
          <w:lang w:val="pt-BR"/>
        </w:rPr>
        <w:t xml:space="preserve"> </w:t>
      </w:r>
      <w:r w:rsidR="002A6CDE" w:rsidRPr="00977B46">
        <w:rPr>
          <w:sz w:val="24"/>
          <w:szCs w:val="24"/>
          <w:lang w:val="pt-BR"/>
        </w:rPr>
        <w:t>e encontra-se registrada no Conselho Municip</w:t>
      </w:r>
      <w:r w:rsidRPr="00977B46">
        <w:rPr>
          <w:sz w:val="24"/>
          <w:szCs w:val="24"/>
          <w:lang w:val="pt-BR"/>
        </w:rPr>
        <w:t>al de Assistência Social - CMAS</w:t>
      </w:r>
      <w:r w:rsidR="002A6CDE" w:rsidRPr="00977B46">
        <w:rPr>
          <w:sz w:val="24"/>
          <w:szCs w:val="24"/>
          <w:lang w:val="pt-BR"/>
        </w:rPr>
        <w:t xml:space="preserve">, no </w:t>
      </w:r>
      <w:r w:rsidR="002B52BE" w:rsidRPr="00977B46">
        <w:rPr>
          <w:sz w:val="24"/>
          <w:szCs w:val="24"/>
          <w:lang w:val="pt-BR"/>
        </w:rPr>
        <w:t>Cadastro</w:t>
      </w:r>
      <w:r w:rsidR="002A6CDE" w:rsidRPr="00977B46">
        <w:rPr>
          <w:sz w:val="24"/>
          <w:szCs w:val="24"/>
          <w:lang w:val="pt-BR"/>
        </w:rPr>
        <w:t xml:space="preserve"> Nacional de Entidade</w:t>
      </w:r>
      <w:r w:rsidRPr="00977B46">
        <w:rPr>
          <w:sz w:val="24"/>
          <w:szCs w:val="24"/>
          <w:lang w:val="pt-BR"/>
        </w:rPr>
        <w:t>s</w:t>
      </w:r>
      <w:r w:rsidR="002A6CDE" w:rsidRPr="00977B46">
        <w:rPr>
          <w:sz w:val="24"/>
          <w:szCs w:val="24"/>
          <w:lang w:val="pt-BR"/>
        </w:rPr>
        <w:t xml:space="preserve"> de Assistência Social – CNEAS</w:t>
      </w:r>
      <w:r w:rsidR="00DD7599" w:rsidRPr="00977B46">
        <w:rPr>
          <w:sz w:val="24"/>
          <w:szCs w:val="24"/>
          <w:lang w:val="pt-BR"/>
        </w:rPr>
        <w:t xml:space="preserve"> e no Conselho Municipal dos Direitos da Criança e do Adolescente</w:t>
      </w:r>
      <w:r w:rsidR="002A6CDE" w:rsidRPr="00977B46">
        <w:rPr>
          <w:sz w:val="24"/>
          <w:szCs w:val="24"/>
          <w:lang w:val="pt-BR"/>
        </w:rPr>
        <w:t xml:space="preserve">, compondo a rede socioassistencial. </w:t>
      </w:r>
    </w:p>
    <w:p w:rsidR="002A6CDE" w:rsidRPr="00977B46" w:rsidRDefault="002A6CDE" w:rsidP="00977B46">
      <w:pPr>
        <w:spacing w:line="360" w:lineRule="auto"/>
        <w:contextualSpacing/>
        <w:jc w:val="both"/>
        <w:rPr>
          <w:sz w:val="24"/>
          <w:szCs w:val="24"/>
          <w:lang w:val="pt-BR"/>
        </w:rPr>
      </w:pPr>
      <w:r w:rsidRPr="00977B46">
        <w:rPr>
          <w:sz w:val="24"/>
          <w:szCs w:val="24"/>
          <w:lang w:val="pt-BR"/>
        </w:rPr>
        <w:t>Na perspectiva da diretriz de Territorialização, preconizada pela Política Nacional de Assistência Social – PNAS pressupõe-se a necessidade de garantir que a rede de serviço socioassistencial esteja mais próxima possível do usuário, de forma que</w:t>
      </w:r>
      <w:r w:rsidR="007D5704">
        <w:rPr>
          <w:sz w:val="24"/>
          <w:szCs w:val="24"/>
          <w:lang w:val="pt-BR"/>
        </w:rPr>
        <w:t xml:space="preserve"> a</w:t>
      </w:r>
      <w:r w:rsidRPr="00977B46">
        <w:rPr>
          <w:sz w:val="24"/>
          <w:szCs w:val="24"/>
          <w:lang w:val="pt-BR"/>
        </w:rPr>
        <w:t xml:space="preserve"> Assistência Social atenda sua demanda sem prejuízos ao público alvo, no caso a Pessoa com Deficiência. Evidenciamos através deste Parecer a importância de se firmar uma parceria com a OSC, uma vez que os equipamentos da Prefeitura não possuem estrutura para atender amplamente a demanda desse público.</w:t>
      </w:r>
    </w:p>
    <w:p w:rsidR="00DD7599" w:rsidRPr="00977B46" w:rsidRDefault="002A6CDE" w:rsidP="00977B46">
      <w:pPr>
        <w:pStyle w:val="Corpodetexto"/>
        <w:spacing w:line="360" w:lineRule="auto"/>
        <w:contextualSpacing/>
        <w:jc w:val="both"/>
        <w:rPr>
          <w:sz w:val="24"/>
          <w:szCs w:val="24"/>
          <w:lang w:val="pt-BR"/>
        </w:rPr>
      </w:pPr>
      <w:r w:rsidRPr="00977B46">
        <w:rPr>
          <w:sz w:val="24"/>
          <w:szCs w:val="24"/>
          <w:lang w:val="pt-BR"/>
        </w:rPr>
        <w:t>A atividade objeto do plano de trabalho se refere à prestação de serviços socioassistenciais regulamentados, inexigindo o chamamento público por atender ao previsto no</w:t>
      </w:r>
      <w:r w:rsidR="00DD7599" w:rsidRPr="00977B46">
        <w:rPr>
          <w:sz w:val="24"/>
          <w:szCs w:val="24"/>
          <w:lang w:val="pt-BR"/>
        </w:rPr>
        <w:t xml:space="preserve"> Art. 30 cumulativo ao Art. 31 da Lei Federal nº 13.019, de 2014, alterada pela Lei nº 13.204 de 2015</w:t>
      </w:r>
      <w:r w:rsidR="00B11688" w:rsidRPr="00977B46">
        <w:rPr>
          <w:sz w:val="24"/>
          <w:szCs w:val="24"/>
          <w:lang w:val="pt-BR"/>
        </w:rPr>
        <w:t xml:space="preserve"> e Art. 3º </w:t>
      </w:r>
      <w:r w:rsidR="007D5704" w:rsidRPr="00977B46">
        <w:rPr>
          <w:sz w:val="24"/>
          <w:szCs w:val="24"/>
          <w:lang w:val="pt-BR"/>
        </w:rPr>
        <w:t>da Resolução</w:t>
      </w:r>
      <w:r w:rsidR="00B11688" w:rsidRPr="00977B46">
        <w:rPr>
          <w:sz w:val="24"/>
          <w:szCs w:val="24"/>
          <w:lang w:val="pt-BR"/>
        </w:rPr>
        <w:t xml:space="preserve"> 21/2016 do Conselho Nacional de Assistência Social - CNAS</w:t>
      </w:r>
      <w:r w:rsidR="00DD7599" w:rsidRPr="00977B46">
        <w:rPr>
          <w:sz w:val="24"/>
          <w:szCs w:val="24"/>
          <w:lang w:val="pt-BR"/>
        </w:rPr>
        <w:t xml:space="preserve">: </w:t>
      </w:r>
    </w:p>
    <w:p w:rsidR="00DD7599" w:rsidRPr="00977B46" w:rsidRDefault="00DD7599" w:rsidP="00977B46">
      <w:pPr>
        <w:pStyle w:val="Corpodetexto"/>
        <w:spacing w:line="360" w:lineRule="auto"/>
        <w:contextualSpacing/>
        <w:jc w:val="both"/>
        <w:rPr>
          <w:sz w:val="24"/>
          <w:szCs w:val="24"/>
          <w:lang w:val="pt-BR"/>
        </w:rPr>
      </w:pPr>
      <w:r w:rsidRPr="00977B46">
        <w:rPr>
          <w:sz w:val="24"/>
          <w:szCs w:val="24"/>
          <w:lang w:val="pt-BR"/>
        </w:rPr>
        <w:t>Art. 30 - A administração pública poderá dispensar a realização do chamamento público:</w:t>
      </w:r>
    </w:p>
    <w:p w:rsidR="00DD7599" w:rsidRPr="00977B46" w:rsidRDefault="00DD7599" w:rsidP="00977B46">
      <w:pPr>
        <w:pStyle w:val="Corpodetexto"/>
        <w:spacing w:line="360" w:lineRule="auto"/>
        <w:contextualSpacing/>
        <w:jc w:val="both"/>
        <w:rPr>
          <w:sz w:val="24"/>
          <w:szCs w:val="24"/>
          <w:lang w:val="pt-BR"/>
        </w:rPr>
      </w:pPr>
      <w:r w:rsidRPr="00977B46">
        <w:rPr>
          <w:sz w:val="24"/>
          <w:szCs w:val="24"/>
          <w:lang w:val="pt-BR"/>
        </w:rPr>
        <w:t>VI - no caso de atividades voltadas ou vinculadas a serviços de educação, saúde e assistência social, desde que executadas por organizações da sociedade civil previamente credenciadas pelo órgão gestor da respectiva política.</w:t>
      </w:r>
    </w:p>
    <w:p w:rsidR="002A6CDE" w:rsidRPr="00977B46" w:rsidRDefault="002A6CDE" w:rsidP="00977B46">
      <w:pPr>
        <w:pStyle w:val="Corpodetexto"/>
        <w:spacing w:line="360" w:lineRule="auto"/>
        <w:contextualSpacing/>
        <w:jc w:val="both"/>
        <w:rPr>
          <w:sz w:val="24"/>
          <w:szCs w:val="24"/>
          <w:lang w:val="pt-BR"/>
        </w:rPr>
      </w:pPr>
      <w:r w:rsidRPr="00977B46">
        <w:rPr>
          <w:sz w:val="24"/>
          <w:szCs w:val="24"/>
          <w:lang w:val="pt-BR"/>
        </w:rPr>
        <w:t xml:space="preserve">Art. 31 – Será considerado inexigível o chamamento público na hipótese de inviabilidade </w:t>
      </w:r>
      <w:r w:rsidRPr="00977B46">
        <w:rPr>
          <w:sz w:val="24"/>
          <w:szCs w:val="24"/>
          <w:lang w:val="pt-BR"/>
        </w:rPr>
        <w:lastRenderedPageBreak/>
        <w:t>de competição entre as organizações da sociedade civil, em razão da natureza singular do objeto da parceria ou se as metas somente puderem ser atingidas por uma entidade específica.</w:t>
      </w:r>
    </w:p>
    <w:p w:rsidR="00B11688" w:rsidRPr="00977B46" w:rsidRDefault="00B11688" w:rsidP="00977B46">
      <w:pPr>
        <w:pStyle w:val="Corpodetexto"/>
        <w:spacing w:line="360" w:lineRule="auto"/>
        <w:contextualSpacing/>
        <w:jc w:val="both"/>
        <w:rPr>
          <w:sz w:val="24"/>
          <w:szCs w:val="24"/>
          <w:lang w:val="pt-BR"/>
        </w:rPr>
      </w:pPr>
      <w:r w:rsidRPr="00977B46">
        <w:rPr>
          <w:sz w:val="24"/>
          <w:szCs w:val="24"/>
          <w:lang w:val="pt-BR"/>
        </w:rPr>
        <w:t>Art. 3º Quando da seleção das entidades ou organizações de assistência social para a celebração de parceria, o órgão gestor da assistência social deverá observar o chamamento público como regra, exceto nas hipóteses de inexigibilidade e dispensa previstas nos arts. 30 e 31 da Lei nº 13.019, de 2014.</w:t>
      </w:r>
    </w:p>
    <w:p w:rsidR="00F76AB1" w:rsidRDefault="00B11688" w:rsidP="00977B46">
      <w:pPr>
        <w:pStyle w:val="Corpodetexto"/>
        <w:spacing w:line="360" w:lineRule="auto"/>
        <w:contextualSpacing/>
        <w:jc w:val="both"/>
        <w:rPr>
          <w:sz w:val="24"/>
          <w:szCs w:val="24"/>
          <w:lang w:val="pt-BR"/>
        </w:rPr>
      </w:pPr>
      <w:r w:rsidRPr="00977B46">
        <w:rPr>
          <w:sz w:val="24"/>
          <w:szCs w:val="24"/>
          <w:lang w:val="pt-BR"/>
        </w:rPr>
        <w:t xml:space="preserve">§2º A hipótese de dispensa de chamamento público de que trata o inciso VI do art. 30 da Lei nº 13.019, de 2014, se aplicará àquelas entidades ou organizações de assistência </w:t>
      </w:r>
    </w:p>
    <w:p w:rsidR="00F76AB1" w:rsidRDefault="00F76AB1" w:rsidP="00977B46">
      <w:pPr>
        <w:pStyle w:val="Corpodetexto"/>
        <w:spacing w:line="360" w:lineRule="auto"/>
        <w:contextualSpacing/>
        <w:jc w:val="both"/>
        <w:rPr>
          <w:sz w:val="24"/>
          <w:szCs w:val="24"/>
          <w:lang w:val="pt-BR"/>
        </w:rPr>
      </w:pPr>
    </w:p>
    <w:p w:rsidR="00B11688" w:rsidRPr="00977B46" w:rsidRDefault="00B11688" w:rsidP="00977B46">
      <w:pPr>
        <w:pStyle w:val="Corpodetexto"/>
        <w:spacing w:line="360" w:lineRule="auto"/>
        <w:contextualSpacing/>
        <w:jc w:val="both"/>
        <w:rPr>
          <w:sz w:val="24"/>
          <w:szCs w:val="24"/>
          <w:lang w:val="pt-BR"/>
        </w:rPr>
      </w:pPr>
      <w:r w:rsidRPr="00977B46">
        <w:rPr>
          <w:sz w:val="24"/>
          <w:szCs w:val="24"/>
          <w:lang w:val="pt-BR"/>
        </w:rPr>
        <w:t>social que cumprem cumulativamente os requisitos constantes nos incisos do art. 2º desta Resolução, quando:</w:t>
      </w:r>
    </w:p>
    <w:p w:rsidR="00B11688" w:rsidRPr="00977B46" w:rsidRDefault="00B11688" w:rsidP="00977B46">
      <w:pPr>
        <w:pStyle w:val="Corpodetexto"/>
        <w:spacing w:line="360" w:lineRule="auto"/>
        <w:contextualSpacing/>
        <w:jc w:val="both"/>
        <w:rPr>
          <w:sz w:val="24"/>
          <w:szCs w:val="24"/>
          <w:lang w:val="pt-BR"/>
        </w:rPr>
      </w:pPr>
      <w:r w:rsidRPr="00977B46">
        <w:rPr>
          <w:sz w:val="24"/>
          <w:szCs w:val="24"/>
          <w:lang w:val="pt-BR"/>
        </w:rPr>
        <w:t>I – o objeto do plano de trabalho for a prestação de serviços socioassistenciais regulamentados; e</w:t>
      </w:r>
    </w:p>
    <w:p w:rsidR="00B11688" w:rsidRDefault="00B11688" w:rsidP="00977B46">
      <w:pPr>
        <w:pStyle w:val="Corpodetexto"/>
        <w:spacing w:line="360" w:lineRule="auto"/>
        <w:contextualSpacing/>
        <w:jc w:val="both"/>
        <w:rPr>
          <w:sz w:val="24"/>
          <w:szCs w:val="24"/>
          <w:lang w:val="pt-BR"/>
        </w:rPr>
      </w:pPr>
      <w:r w:rsidRPr="00977B46">
        <w:rPr>
          <w:sz w:val="24"/>
          <w:szCs w:val="24"/>
          <w:lang w:val="pt-BR"/>
        </w:rPr>
        <w:t>II – a descontinuidade da oferta pela entidade apresentar dano mais gravoso à integridade do usuário, que deverá ser fundamentada em parecer técnico, exarado por profissionais de nível superior das categorias reconhecidas na Resolução nº 17, 20 de junho de 2011, do Conselho Nacional de Assistência Social - CNAS.</w:t>
      </w:r>
    </w:p>
    <w:p w:rsidR="00C3588E" w:rsidRPr="00977B46" w:rsidRDefault="00C3588E" w:rsidP="00977B46">
      <w:pPr>
        <w:pStyle w:val="Corpodetexto"/>
        <w:spacing w:line="360" w:lineRule="auto"/>
        <w:contextualSpacing/>
        <w:jc w:val="both"/>
        <w:rPr>
          <w:sz w:val="24"/>
          <w:szCs w:val="24"/>
          <w:lang w:val="pt-BR"/>
        </w:rPr>
      </w:pPr>
    </w:p>
    <w:p w:rsidR="002A6CDE" w:rsidRPr="00977B46" w:rsidRDefault="002A6CDE" w:rsidP="00977B46">
      <w:pPr>
        <w:spacing w:line="360" w:lineRule="auto"/>
        <w:contextualSpacing/>
        <w:jc w:val="both"/>
        <w:rPr>
          <w:sz w:val="24"/>
          <w:szCs w:val="24"/>
          <w:lang w:val="pt-BR"/>
        </w:rPr>
      </w:pPr>
      <w:r w:rsidRPr="00977B46">
        <w:rPr>
          <w:b/>
          <w:sz w:val="24"/>
          <w:szCs w:val="24"/>
          <w:lang w:val="pt-BR"/>
        </w:rPr>
        <w:t>Conclusão:</w:t>
      </w:r>
      <w:r w:rsidRPr="00977B46">
        <w:rPr>
          <w:sz w:val="24"/>
          <w:szCs w:val="24"/>
          <w:lang w:val="pt-BR"/>
        </w:rPr>
        <w:t xml:space="preserve"> Diante do exposto, e de acordo com o parecer técnico e análises com fundamento no artigo 35, inciso V da Lei Nº 13.019/2014, alterada pela Lei Nº 13.204/2015, decide por entender conveniente e oportuno a celebração do </w:t>
      </w:r>
      <w:r w:rsidR="00B11688" w:rsidRPr="00977B46">
        <w:rPr>
          <w:sz w:val="24"/>
          <w:szCs w:val="24"/>
          <w:lang w:val="pt-BR"/>
        </w:rPr>
        <w:t>Acordo de Cooperação</w:t>
      </w:r>
      <w:r w:rsidRPr="00977B46">
        <w:rPr>
          <w:sz w:val="24"/>
          <w:szCs w:val="24"/>
          <w:lang w:val="pt-BR"/>
        </w:rPr>
        <w:t xml:space="preserve">, por inexigibilidade do chamamento público. </w:t>
      </w:r>
    </w:p>
    <w:p w:rsidR="002A6CDE" w:rsidRDefault="002A6CDE" w:rsidP="00977B46">
      <w:pPr>
        <w:spacing w:line="360" w:lineRule="auto"/>
        <w:contextualSpacing/>
        <w:jc w:val="both"/>
        <w:rPr>
          <w:sz w:val="24"/>
          <w:szCs w:val="24"/>
          <w:lang w:val="pt-BR"/>
        </w:rPr>
      </w:pPr>
      <w:r w:rsidRPr="00977B46">
        <w:rPr>
          <w:sz w:val="24"/>
          <w:szCs w:val="24"/>
          <w:lang w:val="pt-BR"/>
        </w:rPr>
        <w:t>São as justificativas.</w:t>
      </w:r>
    </w:p>
    <w:p w:rsidR="00977B46" w:rsidRPr="00977B46" w:rsidRDefault="00977B46" w:rsidP="00977B46">
      <w:pPr>
        <w:spacing w:line="360" w:lineRule="auto"/>
        <w:contextualSpacing/>
        <w:jc w:val="both"/>
        <w:rPr>
          <w:sz w:val="24"/>
          <w:szCs w:val="24"/>
          <w:lang w:val="pt-BR"/>
        </w:rPr>
      </w:pPr>
    </w:p>
    <w:p w:rsidR="002A6CDE" w:rsidRPr="004954C3" w:rsidRDefault="00977B46" w:rsidP="00977B46">
      <w:pPr>
        <w:spacing w:line="360" w:lineRule="auto"/>
        <w:contextualSpacing/>
        <w:jc w:val="center"/>
        <w:rPr>
          <w:sz w:val="24"/>
          <w:szCs w:val="24"/>
          <w:lang w:val="pt-BR"/>
        </w:rPr>
      </w:pPr>
      <w:r w:rsidRPr="004954C3">
        <w:rPr>
          <w:sz w:val="24"/>
          <w:szCs w:val="24"/>
          <w:lang w:val="pt-BR"/>
        </w:rPr>
        <w:t>Colombo</w:t>
      </w:r>
      <w:r w:rsidR="002A6CDE" w:rsidRPr="004954C3">
        <w:rPr>
          <w:sz w:val="24"/>
          <w:szCs w:val="24"/>
          <w:lang w:val="pt-BR"/>
        </w:rPr>
        <w:t>, 1</w:t>
      </w:r>
      <w:r w:rsidRPr="004954C3">
        <w:rPr>
          <w:sz w:val="24"/>
          <w:szCs w:val="24"/>
          <w:lang w:val="pt-BR"/>
        </w:rPr>
        <w:t>6</w:t>
      </w:r>
      <w:r w:rsidR="002A6CDE" w:rsidRPr="004954C3">
        <w:rPr>
          <w:sz w:val="24"/>
          <w:szCs w:val="24"/>
          <w:lang w:val="pt-BR"/>
        </w:rPr>
        <w:t xml:space="preserve"> de </w:t>
      </w:r>
      <w:r w:rsidRPr="004954C3">
        <w:rPr>
          <w:sz w:val="24"/>
          <w:szCs w:val="24"/>
          <w:lang w:val="pt-BR"/>
        </w:rPr>
        <w:t xml:space="preserve">Agosto </w:t>
      </w:r>
      <w:r w:rsidR="002A6CDE" w:rsidRPr="004954C3">
        <w:rPr>
          <w:sz w:val="24"/>
          <w:szCs w:val="24"/>
          <w:lang w:val="pt-BR"/>
        </w:rPr>
        <w:t>de 2018.</w:t>
      </w:r>
    </w:p>
    <w:p w:rsidR="00977B46" w:rsidRDefault="00977B46" w:rsidP="00977B46">
      <w:pPr>
        <w:spacing w:line="360" w:lineRule="auto"/>
        <w:contextualSpacing/>
        <w:jc w:val="center"/>
        <w:rPr>
          <w:sz w:val="24"/>
          <w:szCs w:val="24"/>
          <w:lang w:val="pt-BR"/>
        </w:rPr>
      </w:pPr>
    </w:p>
    <w:p w:rsidR="002A6CDE" w:rsidRPr="00977B46" w:rsidRDefault="00977B46" w:rsidP="00977B46">
      <w:pPr>
        <w:spacing w:line="360" w:lineRule="auto"/>
        <w:contextualSpacing/>
        <w:jc w:val="center"/>
        <w:rPr>
          <w:sz w:val="24"/>
          <w:szCs w:val="24"/>
          <w:lang w:val="pt-BR"/>
        </w:rPr>
      </w:pPr>
      <w:r w:rsidRPr="00977B46">
        <w:rPr>
          <w:sz w:val="24"/>
          <w:szCs w:val="24"/>
          <w:lang w:val="pt-BR"/>
        </w:rPr>
        <w:t>Maria da Silva  Souza</w:t>
      </w:r>
    </w:p>
    <w:p w:rsidR="002A6CDE" w:rsidRPr="00977B46" w:rsidRDefault="002A6CDE" w:rsidP="00977B46">
      <w:pPr>
        <w:spacing w:line="360" w:lineRule="auto"/>
        <w:contextualSpacing/>
        <w:jc w:val="center"/>
        <w:rPr>
          <w:sz w:val="24"/>
          <w:szCs w:val="24"/>
          <w:lang w:val="pt-BR"/>
        </w:rPr>
      </w:pPr>
      <w:r w:rsidRPr="00977B46">
        <w:rPr>
          <w:sz w:val="24"/>
          <w:szCs w:val="24"/>
          <w:lang w:val="pt-BR"/>
        </w:rPr>
        <w:t>Secretária Municipal de Assistência Social</w:t>
      </w:r>
    </w:p>
    <w:p w:rsidR="00E7153C" w:rsidRDefault="00E7153C" w:rsidP="00977B46">
      <w:pPr>
        <w:pStyle w:val="Corpodetexto"/>
        <w:spacing w:line="360" w:lineRule="auto"/>
        <w:contextualSpacing/>
        <w:jc w:val="both"/>
        <w:rPr>
          <w:color w:val="0000FF"/>
          <w:sz w:val="24"/>
          <w:szCs w:val="24"/>
          <w:u w:val="single"/>
          <w:lang w:val="pt-BR"/>
        </w:rPr>
      </w:pPr>
    </w:p>
    <w:sectPr w:rsidR="00E7153C" w:rsidSect="006E35C3">
      <w:pgSz w:w="11900" w:h="16840"/>
      <w:pgMar w:top="1276" w:right="1127"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49" w:rsidRDefault="00357649" w:rsidP="007D5704">
      <w:r>
        <w:separator/>
      </w:r>
    </w:p>
  </w:endnote>
  <w:endnote w:type="continuationSeparator" w:id="0">
    <w:p w:rsidR="00357649" w:rsidRDefault="00357649" w:rsidP="007D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49" w:rsidRDefault="00357649" w:rsidP="007D5704">
      <w:r>
        <w:separator/>
      </w:r>
    </w:p>
  </w:footnote>
  <w:footnote w:type="continuationSeparator" w:id="0">
    <w:p w:rsidR="00357649" w:rsidRDefault="00357649" w:rsidP="007D5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D6AA2"/>
    <w:multiLevelType w:val="hybridMultilevel"/>
    <w:tmpl w:val="42588550"/>
    <w:lvl w:ilvl="0" w:tplc="CD76BEEE">
      <w:start w:val="1"/>
      <w:numFmt w:val="decimal"/>
      <w:lvlText w:val="%1."/>
      <w:lvlJc w:val="left"/>
      <w:pPr>
        <w:ind w:left="101" w:hanging="317"/>
      </w:pPr>
      <w:rPr>
        <w:rFonts w:ascii="Arial" w:eastAsia="Arial" w:hAnsi="Arial" w:cs="Arial" w:hint="default"/>
        <w:spacing w:val="-1"/>
        <w:w w:val="100"/>
        <w:sz w:val="22"/>
        <w:szCs w:val="22"/>
      </w:rPr>
    </w:lvl>
    <w:lvl w:ilvl="1" w:tplc="CBECB6DC">
      <w:start w:val="1"/>
      <w:numFmt w:val="lowerLetter"/>
      <w:lvlText w:val="%2)"/>
      <w:lvlJc w:val="left"/>
      <w:pPr>
        <w:ind w:left="821" w:hanging="360"/>
      </w:pPr>
      <w:rPr>
        <w:rFonts w:ascii="Arial" w:eastAsia="Arial" w:hAnsi="Arial" w:cs="Arial" w:hint="default"/>
        <w:spacing w:val="-1"/>
        <w:w w:val="100"/>
        <w:sz w:val="24"/>
        <w:szCs w:val="24"/>
      </w:rPr>
    </w:lvl>
    <w:lvl w:ilvl="2" w:tplc="3214809E">
      <w:numFmt w:val="bullet"/>
      <w:lvlText w:val="•"/>
      <w:lvlJc w:val="left"/>
      <w:pPr>
        <w:ind w:left="1000" w:hanging="360"/>
      </w:pPr>
      <w:rPr>
        <w:rFonts w:hint="default"/>
      </w:rPr>
    </w:lvl>
    <w:lvl w:ilvl="3" w:tplc="9D4A8DBC">
      <w:numFmt w:val="bullet"/>
      <w:lvlText w:val="•"/>
      <w:lvlJc w:val="left"/>
      <w:pPr>
        <w:ind w:left="1965" w:hanging="360"/>
      </w:pPr>
      <w:rPr>
        <w:rFonts w:hint="default"/>
      </w:rPr>
    </w:lvl>
    <w:lvl w:ilvl="4" w:tplc="EBAA639A">
      <w:numFmt w:val="bullet"/>
      <w:lvlText w:val="•"/>
      <w:lvlJc w:val="left"/>
      <w:pPr>
        <w:ind w:left="2930" w:hanging="360"/>
      </w:pPr>
      <w:rPr>
        <w:rFonts w:hint="default"/>
      </w:rPr>
    </w:lvl>
    <w:lvl w:ilvl="5" w:tplc="6400C03A">
      <w:numFmt w:val="bullet"/>
      <w:lvlText w:val="•"/>
      <w:lvlJc w:val="left"/>
      <w:pPr>
        <w:ind w:left="3895" w:hanging="360"/>
      </w:pPr>
      <w:rPr>
        <w:rFonts w:hint="default"/>
      </w:rPr>
    </w:lvl>
    <w:lvl w:ilvl="6" w:tplc="1D7C5E2E">
      <w:numFmt w:val="bullet"/>
      <w:lvlText w:val="•"/>
      <w:lvlJc w:val="left"/>
      <w:pPr>
        <w:ind w:left="4860" w:hanging="360"/>
      </w:pPr>
      <w:rPr>
        <w:rFonts w:hint="default"/>
      </w:rPr>
    </w:lvl>
    <w:lvl w:ilvl="7" w:tplc="86EE004A">
      <w:numFmt w:val="bullet"/>
      <w:lvlText w:val="•"/>
      <w:lvlJc w:val="left"/>
      <w:pPr>
        <w:ind w:left="5825" w:hanging="360"/>
      </w:pPr>
      <w:rPr>
        <w:rFonts w:hint="default"/>
      </w:rPr>
    </w:lvl>
    <w:lvl w:ilvl="8" w:tplc="996E9046">
      <w:numFmt w:val="bullet"/>
      <w:lvlText w:val="•"/>
      <w:lvlJc w:val="left"/>
      <w:pPr>
        <w:ind w:left="6790" w:hanging="360"/>
      </w:pPr>
      <w:rPr>
        <w:rFonts w:hint="default"/>
      </w:rPr>
    </w:lvl>
  </w:abstractNum>
  <w:abstractNum w:abstractNumId="1" w15:restartNumberingAfterBreak="0">
    <w:nsid w:val="36A45E06"/>
    <w:multiLevelType w:val="hybridMultilevel"/>
    <w:tmpl w:val="D0F4CF32"/>
    <w:lvl w:ilvl="0" w:tplc="5EE4CE80">
      <w:start w:val="1"/>
      <w:numFmt w:val="lowerLetter"/>
      <w:lvlText w:val="%1)"/>
      <w:lvlJc w:val="left"/>
      <w:pPr>
        <w:ind w:left="1440" w:hanging="360"/>
      </w:pPr>
      <w:rPr>
        <w:rFonts w:ascii="Verdana" w:eastAsia="Arial" w:hAnsi="Verdana" w:cs="Arial" w:hint="default"/>
        <w:spacing w:val="-1"/>
        <w:w w:val="100"/>
        <w:sz w:val="16"/>
        <w:szCs w:val="16"/>
      </w:rPr>
    </w:lvl>
    <w:lvl w:ilvl="1" w:tplc="04160019" w:tentative="1">
      <w:start w:val="1"/>
      <w:numFmt w:val="lowerLetter"/>
      <w:lvlText w:val="%2."/>
      <w:lvlJc w:val="left"/>
      <w:pPr>
        <w:ind w:left="2059" w:hanging="360"/>
      </w:pPr>
    </w:lvl>
    <w:lvl w:ilvl="2" w:tplc="0416001B" w:tentative="1">
      <w:start w:val="1"/>
      <w:numFmt w:val="lowerRoman"/>
      <w:lvlText w:val="%3."/>
      <w:lvlJc w:val="right"/>
      <w:pPr>
        <w:ind w:left="2779" w:hanging="180"/>
      </w:pPr>
    </w:lvl>
    <w:lvl w:ilvl="3" w:tplc="0416000F" w:tentative="1">
      <w:start w:val="1"/>
      <w:numFmt w:val="decimal"/>
      <w:lvlText w:val="%4."/>
      <w:lvlJc w:val="left"/>
      <w:pPr>
        <w:ind w:left="3499" w:hanging="360"/>
      </w:pPr>
    </w:lvl>
    <w:lvl w:ilvl="4" w:tplc="04160019" w:tentative="1">
      <w:start w:val="1"/>
      <w:numFmt w:val="lowerLetter"/>
      <w:lvlText w:val="%5."/>
      <w:lvlJc w:val="left"/>
      <w:pPr>
        <w:ind w:left="4219" w:hanging="360"/>
      </w:pPr>
    </w:lvl>
    <w:lvl w:ilvl="5" w:tplc="0416001B" w:tentative="1">
      <w:start w:val="1"/>
      <w:numFmt w:val="lowerRoman"/>
      <w:lvlText w:val="%6."/>
      <w:lvlJc w:val="right"/>
      <w:pPr>
        <w:ind w:left="4939" w:hanging="180"/>
      </w:pPr>
    </w:lvl>
    <w:lvl w:ilvl="6" w:tplc="0416000F" w:tentative="1">
      <w:start w:val="1"/>
      <w:numFmt w:val="decimal"/>
      <w:lvlText w:val="%7."/>
      <w:lvlJc w:val="left"/>
      <w:pPr>
        <w:ind w:left="5659" w:hanging="360"/>
      </w:pPr>
    </w:lvl>
    <w:lvl w:ilvl="7" w:tplc="04160019" w:tentative="1">
      <w:start w:val="1"/>
      <w:numFmt w:val="lowerLetter"/>
      <w:lvlText w:val="%8."/>
      <w:lvlJc w:val="left"/>
      <w:pPr>
        <w:ind w:left="6379" w:hanging="360"/>
      </w:pPr>
    </w:lvl>
    <w:lvl w:ilvl="8" w:tplc="0416001B" w:tentative="1">
      <w:start w:val="1"/>
      <w:numFmt w:val="lowerRoman"/>
      <w:lvlText w:val="%9."/>
      <w:lvlJc w:val="right"/>
      <w:pPr>
        <w:ind w:left="7099" w:hanging="180"/>
      </w:pPr>
    </w:lvl>
  </w:abstractNum>
  <w:abstractNum w:abstractNumId="2" w15:restartNumberingAfterBreak="0">
    <w:nsid w:val="62C142EC"/>
    <w:multiLevelType w:val="hybridMultilevel"/>
    <w:tmpl w:val="46CA2ED4"/>
    <w:lvl w:ilvl="0" w:tplc="0B923456">
      <w:start w:val="1"/>
      <w:numFmt w:val="lowerLetter"/>
      <w:lvlText w:val="%1)"/>
      <w:lvlJc w:val="left"/>
      <w:pPr>
        <w:ind w:left="821" w:hanging="360"/>
      </w:pPr>
      <w:rPr>
        <w:rFonts w:ascii="Arial" w:eastAsia="Arial" w:hAnsi="Arial" w:cs="Arial" w:hint="default"/>
        <w:spacing w:val="-1"/>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46"/>
    <w:rsid w:val="000913B1"/>
    <w:rsid w:val="00092E78"/>
    <w:rsid w:val="00131A23"/>
    <w:rsid w:val="00133496"/>
    <w:rsid w:val="00134ADD"/>
    <w:rsid w:val="00134D0F"/>
    <w:rsid w:val="00150F10"/>
    <w:rsid w:val="00197C14"/>
    <w:rsid w:val="001B6F8C"/>
    <w:rsid w:val="001D4E7B"/>
    <w:rsid w:val="001F6D1E"/>
    <w:rsid w:val="002A6CDE"/>
    <w:rsid w:val="002B52BE"/>
    <w:rsid w:val="00304EC1"/>
    <w:rsid w:val="00357649"/>
    <w:rsid w:val="003F3FB2"/>
    <w:rsid w:val="004543F0"/>
    <w:rsid w:val="004643A2"/>
    <w:rsid w:val="004954C3"/>
    <w:rsid w:val="005B6EC3"/>
    <w:rsid w:val="005D2579"/>
    <w:rsid w:val="005D3353"/>
    <w:rsid w:val="00657F22"/>
    <w:rsid w:val="006E35C3"/>
    <w:rsid w:val="00716387"/>
    <w:rsid w:val="00736DF8"/>
    <w:rsid w:val="00752A24"/>
    <w:rsid w:val="00755861"/>
    <w:rsid w:val="00784F11"/>
    <w:rsid w:val="007C7511"/>
    <w:rsid w:val="007D5704"/>
    <w:rsid w:val="007F0512"/>
    <w:rsid w:val="00813966"/>
    <w:rsid w:val="008371AE"/>
    <w:rsid w:val="00860D5A"/>
    <w:rsid w:val="008A294A"/>
    <w:rsid w:val="008C7CED"/>
    <w:rsid w:val="009678DC"/>
    <w:rsid w:val="00977B46"/>
    <w:rsid w:val="00982479"/>
    <w:rsid w:val="009A046B"/>
    <w:rsid w:val="009E71C0"/>
    <w:rsid w:val="00A621DD"/>
    <w:rsid w:val="00A6723C"/>
    <w:rsid w:val="00A74914"/>
    <w:rsid w:val="00A916A5"/>
    <w:rsid w:val="00AD0ADB"/>
    <w:rsid w:val="00AD5AD1"/>
    <w:rsid w:val="00B11688"/>
    <w:rsid w:val="00B36F6F"/>
    <w:rsid w:val="00B519AF"/>
    <w:rsid w:val="00B910C6"/>
    <w:rsid w:val="00B96932"/>
    <w:rsid w:val="00BD20E9"/>
    <w:rsid w:val="00BD2E8A"/>
    <w:rsid w:val="00BD33D0"/>
    <w:rsid w:val="00BF131A"/>
    <w:rsid w:val="00C3588E"/>
    <w:rsid w:val="00C557E5"/>
    <w:rsid w:val="00C96B71"/>
    <w:rsid w:val="00CB5A5B"/>
    <w:rsid w:val="00CF248E"/>
    <w:rsid w:val="00D05586"/>
    <w:rsid w:val="00D72DE2"/>
    <w:rsid w:val="00D96946"/>
    <w:rsid w:val="00DD7599"/>
    <w:rsid w:val="00E1420B"/>
    <w:rsid w:val="00E7153C"/>
    <w:rsid w:val="00F075EA"/>
    <w:rsid w:val="00F76AB1"/>
    <w:rsid w:val="00FF66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BA4188-2A2C-48E0-BF73-FC9FAC19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6946"/>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96946"/>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D96946"/>
  </w:style>
  <w:style w:type="paragraph" w:customStyle="1" w:styleId="Ttulo11">
    <w:name w:val="Título 11"/>
    <w:basedOn w:val="Normal"/>
    <w:uiPriority w:val="1"/>
    <w:qFormat/>
    <w:rsid w:val="00D96946"/>
    <w:pPr>
      <w:ind w:left="101"/>
      <w:outlineLvl w:val="1"/>
    </w:pPr>
    <w:rPr>
      <w:b/>
      <w:bCs/>
    </w:rPr>
  </w:style>
  <w:style w:type="paragraph" w:styleId="PargrafodaLista">
    <w:name w:val="List Paragraph"/>
    <w:basedOn w:val="Normal"/>
    <w:uiPriority w:val="1"/>
    <w:qFormat/>
    <w:rsid w:val="00D96946"/>
    <w:pPr>
      <w:ind w:left="821" w:right="110" w:hanging="360"/>
    </w:pPr>
  </w:style>
  <w:style w:type="paragraph" w:customStyle="1" w:styleId="TableParagraph">
    <w:name w:val="Table Paragraph"/>
    <w:basedOn w:val="Normal"/>
    <w:uiPriority w:val="1"/>
    <w:qFormat/>
    <w:rsid w:val="00D96946"/>
  </w:style>
  <w:style w:type="character" w:styleId="Hyperlink">
    <w:name w:val="Hyperlink"/>
    <w:basedOn w:val="Fontepargpadro"/>
    <w:uiPriority w:val="99"/>
    <w:unhideWhenUsed/>
    <w:rsid w:val="00304EC1"/>
    <w:rPr>
      <w:color w:val="0000FF" w:themeColor="hyperlink"/>
      <w:u w:val="single"/>
    </w:rPr>
  </w:style>
  <w:style w:type="character" w:customStyle="1" w:styleId="CorpodetextoChar">
    <w:name w:val="Corpo de texto Char"/>
    <w:basedOn w:val="Fontepargpadro"/>
    <w:link w:val="Corpodetexto"/>
    <w:uiPriority w:val="1"/>
    <w:rsid w:val="00B910C6"/>
    <w:rPr>
      <w:rFonts w:ascii="Arial" w:eastAsia="Arial" w:hAnsi="Arial" w:cs="Arial"/>
    </w:rPr>
  </w:style>
  <w:style w:type="paragraph" w:styleId="Cabealho">
    <w:name w:val="header"/>
    <w:basedOn w:val="Normal"/>
    <w:link w:val="CabealhoChar"/>
    <w:uiPriority w:val="99"/>
    <w:unhideWhenUsed/>
    <w:rsid w:val="007D5704"/>
    <w:pPr>
      <w:tabs>
        <w:tab w:val="center" w:pos="4252"/>
        <w:tab w:val="right" w:pos="8504"/>
      </w:tabs>
    </w:pPr>
  </w:style>
  <w:style w:type="character" w:customStyle="1" w:styleId="CabealhoChar">
    <w:name w:val="Cabeçalho Char"/>
    <w:basedOn w:val="Fontepargpadro"/>
    <w:link w:val="Cabealho"/>
    <w:uiPriority w:val="99"/>
    <w:rsid w:val="007D5704"/>
    <w:rPr>
      <w:rFonts w:ascii="Arial" w:eastAsia="Arial" w:hAnsi="Arial" w:cs="Arial"/>
    </w:rPr>
  </w:style>
  <w:style w:type="paragraph" w:styleId="Rodap">
    <w:name w:val="footer"/>
    <w:basedOn w:val="Normal"/>
    <w:link w:val="RodapChar"/>
    <w:uiPriority w:val="99"/>
    <w:unhideWhenUsed/>
    <w:rsid w:val="007D5704"/>
    <w:pPr>
      <w:tabs>
        <w:tab w:val="center" w:pos="4252"/>
        <w:tab w:val="right" w:pos="8504"/>
      </w:tabs>
    </w:pPr>
  </w:style>
  <w:style w:type="character" w:customStyle="1" w:styleId="RodapChar">
    <w:name w:val="Rodapé Char"/>
    <w:basedOn w:val="Fontepargpadro"/>
    <w:link w:val="Rodap"/>
    <w:uiPriority w:val="99"/>
    <w:rsid w:val="007D5704"/>
    <w:rPr>
      <w:rFonts w:ascii="Arial" w:eastAsia="Arial" w:hAnsi="Arial" w:cs="Arial"/>
    </w:rPr>
  </w:style>
  <w:style w:type="paragraph" w:styleId="Textodebalo">
    <w:name w:val="Balloon Text"/>
    <w:basedOn w:val="Normal"/>
    <w:link w:val="TextodebaloChar"/>
    <w:uiPriority w:val="99"/>
    <w:semiHidden/>
    <w:unhideWhenUsed/>
    <w:rsid w:val="00C3588E"/>
    <w:rPr>
      <w:rFonts w:ascii="Segoe UI" w:hAnsi="Segoe UI" w:cs="Segoe UI"/>
      <w:sz w:val="18"/>
      <w:szCs w:val="18"/>
    </w:rPr>
  </w:style>
  <w:style w:type="character" w:customStyle="1" w:styleId="TextodebaloChar">
    <w:name w:val="Texto de balão Char"/>
    <w:basedOn w:val="Fontepargpadro"/>
    <w:link w:val="Textodebalo"/>
    <w:uiPriority w:val="99"/>
    <w:semiHidden/>
    <w:rsid w:val="00C3588E"/>
    <w:rPr>
      <w:rFonts w:ascii="Segoe UI" w:eastAsia="Arial" w:hAnsi="Segoe UI" w:cs="Segoe UI"/>
      <w:sz w:val="18"/>
      <w:szCs w:val="18"/>
    </w:rPr>
  </w:style>
  <w:style w:type="character" w:styleId="Forte">
    <w:name w:val="Strong"/>
    <w:basedOn w:val="Fontepargpadro"/>
    <w:uiPriority w:val="22"/>
    <w:qFormat/>
    <w:rsid w:val="00982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946</Words>
  <Characters>5113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(Microsoft Word - EXTRATO DE JUSTIFICATIVA DE DISPENSA DE CHAMAMENTO P\332BLICO.docx)</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EXTRATO DE JUSTIFICATIVA DE DISPENSA DE CHAMAMENTO P\332BLICO.docx)</dc:title>
  <dc:creator>wanusacosta</dc:creator>
  <cp:lastModifiedBy>Daniele Manika</cp:lastModifiedBy>
  <cp:revision>5</cp:revision>
  <cp:lastPrinted>2018-08-31T13:21:00Z</cp:lastPrinted>
  <dcterms:created xsi:type="dcterms:W3CDTF">2018-09-06T12:35:00Z</dcterms:created>
  <dcterms:modified xsi:type="dcterms:W3CDTF">2018-09-06T17:28:00Z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PDF24 Creator</vt:lpwstr>
  </property>
  <property fmtid="{D5CDD505-2E9C-101B-9397-08002B2CF9AE}" pid="4" name="LastSaved">
    <vt:filetime>2018-01-18T00:00:00Z</vt:filetime>
  </property>
</Properties>
</file>