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margin" w:tblpXSpec="right" w:tblpY="7606"/>
        <w:tblW w:w="4369" w:type="pct"/>
        <w:tblLook w:val="04A0"/>
      </w:tblPr>
      <w:tblGrid>
        <w:gridCol w:w="7620"/>
      </w:tblGrid>
      <w:tr w:rsidR="002D2845" w:rsidRPr="00A252CB" w:rsidTr="007A4697">
        <w:trPr>
          <w:trHeight w:val="961"/>
        </w:trPr>
        <w:tc>
          <w:tcPr>
            <w:tcW w:w="7621" w:type="dxa"/>
          </w:tcPr>
          <w:p w:rsidR="002D2845" w:rsidRPr="00A252CB" w:rsidRDefault="002D2845" w:rsidP="007A4697">
            <w:pPr>
              <w:pStyle w:val="SemEspaamento"/>
              <w:spacing w:before="120" w:after="120"/>
              <w:rPr>
                <w:rFonts w:asciiTheme="minorHAnsi" w:hAnsiTheme="minorHAnsi"/>
                <w:b/>
                <w:bCs/>
                <w:color w:val="365F91"/>
                <w:sz w:val="52"/>
                <w:szCs w:val="52"/>
              </w:rPr>
            </w:pPr>
            <w:r>
              <w:rPr>
                <w:rFonts w:asciiTheme="minorHAnsi" w:hAnsiTheme="minorHAnsi"/>
                <w:b/>
                <w:bCs/>
                <w:sz w:val="52"/>
                <w:szCs w:val="52"/>
              </w:rPr>
              <w:t>Colombo Previdência</w:t>
            </w:r>
          </w:p>
        </w:tc>
      </w:tr>
      <w:tr w:rsidR="002D2845" w:rsidRPr="00A252CB" w:rsidTr="007A4697">
        <w:trPr>
          <w:trHeight w:val="266"/>
        </w:trPr>
        <w:tc>
          <w:tcPr>
            <w:tcW w:w="7621" w:type="dxa"/>
          </w:tcPr>
          <w:p w:rsidR="002D2845" w:rsidRPr="00A252CB" w:rsidRDefault="002D2845" w:rsidP="007A4697">
            <w:pPr>
              <w:pStyle w:val="SemEspaamento"/>
              <w:spacing w:before="120" w:after="120"/>
              <w:rPr>
                <w:rFonts w:asciiTheme="minorHAnsi" w:hAnsiTheme="minorHAnsi"/>
                <w:color w:val="484329"/>
                <w:sz w:val="44"/>
                <w:szCs w:val="44"/>
              </w:rPr>
            </w:pPr>
            <w:r w:rsidRPr="00A252CB">
              <w:rPr>
                <w:rFonts w:asciiTheme="minorHAnsi" w:hAnsiTheme="minorHAnsi"/>
                <w:color w:val="484329"/>
                <w:sz w:val="44"/>
                <w:szCs w:val="44"/>
              </w:rPr>
              <w:t>Política de Investimentos 2015</w:t>
            </w:r>
          </w:p>
        </w:tc>
      </w:tr>
      <w:tr w:rsidR="002D2845" w:rsidRPr="00A252CB" w:rsidTr="007A4697">
        <w:trPr>
          <w:trHeight w:val="266"/>
        </w:trPr>
        <w:tc>
          <w:tcPr>
            <w:tcW w:w="7621" w:type="dxa"/>
          </w:tcPr>
          <w:p w:rsidR="002D2845" w:rsidRPr="00A252CB" w:rsidRDefault="002D2845" w:rsidP="007A4697">
            <w:pPr>
              <w:pStyle w:val="SemEspaamento"/>
              <w:spacing w:before="120" w:after="120"/>
              <w:rPr>
                <w:rFonts w:asciiTheme="minorHAnsi" w:hAnsiTheme="minorHAnsi"/>
                <w:color w:val="484329"/>
                <w:sz w:val="24"/>
                <w:szCs w:val="28"/>
              </w:rPr>
            </w:pPr>
            <w:r w:rsidRPr="00A252CB">
              <w:rPr>
                <w:rFonts w:asciiTheme="minorHAnsi" w:hAnsiTheme="minorHAnsi"/>
                <w:color w:val="484329"/>
                <w:sz w:val="24"/>
                <w:szCs w:val="28"/>
              </w:rPr>
              <w:t>1° Versão</w:t>
            </w:r>
          </w:p>
          <w:p w:rsidR="002D2845" w:rsidRPr="00A252CB" w:rsidRDefault="002D2845" w:rsidP="007A4697">
            <w:pPr>
              <w:pStyle w:val="SemEspaamento"/>
              <w:spacing w:before="120" w:after="120"/>
              <w:rPr>
                <w:rFonts w:asciiTheme="minorHAnsi" w:hAnsiTheme="minorHAnsi"/>
                <w:color w:val="484329"/>
                <w:sz w:val="28"/>
                <w:szCs w:val="28"/>
              </w:rPr>
            </w:pPr>
          </w:p>
        </w:tc>
      </w:tr>
      <w:tr w:rsidR="002D2845" w:rsidRPr="00A252CB" w:rsidTr="007A4697">
        <w:trPr>
          <w:trHeight w:val="217"/>
        </w:trPr>
        <w:tc>
          <w:tcPr>
            <w:tcW w:w="7621" w:type="dxa"/>
          </w:tcPr>
          <w:p w:rsidR="002D2845" w:rsidRPr="00A252CB" w:rsidRDefault="002D2845" w:rsidP="007A4697">
            <w:pPr>
              <w:pStyle w:val="SemEspaamento"/>
              <w:spacing w:before="120" w:after="120"/>
              <w:rPr>
                <w:rFonts w:asciiTheme="minorHAnsi" w:hAnsiTheme="minorHAnsi"/>
              </w:rPr>
            </w:pPr>
          </w:p>
        </w:tc>
      </w:tr>
    </w:tbl>
    <w:p w:rsidR="007A4697" w:rsidRDefault="007A4697"/>
    <w:p w:rsidR="002D2845" w:rsidRDefault="002D2845"/>
    <w:p w:rsidR="002D2845" w:rsidRDefault="002D2845"/>
    <w:p w:rsidR="002D2845" w:rsidRDefault="002D2845"/>
    <w:p w:rsidR="002D2845" w:rsidRDefault="002D2845"/>
    <w:p w:rsidR="002D2845" w:rsidRDefault="002D2845"/>
    <w:p w:rsidR="002D2845" w:rsidRDefault="002D2845"/>
    <w:p w:rsidR="002D2845" w:rsidRDefault="002D2845"/>
    <w:p w:rsidR="002D2845" w:rsidRDefault="002D2845"/>
    <w:p w:rsidR="002D2845" w:rsidRDefault="002D2845"/>
    <w:p w:rsidR="002D2845" w:rsidRDefault="002D2845"/>
    <w:p w:rsidR="002D2845" w:rsidRDefault="002D2845"/>
    <w:p w:rsidR="002D2845" w:rsidRDefault="002D2845"/>
    <w:p w:rsidR="002D2845" w:rsidRDefault="002D2845"/>
    <w:p w:rsidR="002D2845" w:rsidRDefault="002D2845"/>
    <w:p w:rsidR="002D2845" w:rsidRDefault="002D2845"/>
    <w:p w:rsidR="002D2845" w:rsidRDefault="002D2845"/>
    <w:p w:rsidR="002D2845" w:rsidRDefault="002D2845"/>
    <w:p w:rsidR="002D2845" w:rsidRDefault="002D2845"/>
    <w:p w:rsidR="002D2845" w:rsidRDefault="002D2845"/>
    <w:p w:rsidR="002D2845" w:rsidRDefault="002D2845"/>
    <w:p w:rsidR="002D2845" w:rsidRDefault="002D2845"/>
    <w:p w:rsidR="002D2845" w:rsidRDefault="002D2845"/>
    <w:p w:rsidR="002D2845" w:rsidRDefault="002D2845"/>
    <w:p w:rsidR="002D2845" w:rsidRDefault="002D2845"/>
    <w:p w:rsidR="002D2845" w:rsidRDefault="002D2845"/>
    <w:p w:rsidR="002D2845" w:rsidRDefault="002D2845"/>
    <w:p w:rsidR="002D2845" w:rsidRDefault="002D2845"/>
    <w:p w:rsidR="002D2845" w:rsidRDefault="002D2845"/>
    <w:p w:rsidR="002D2845" w:rsidRDefault="002D2845"/>
    <w:p w:rsidR="002D2845" w:rsidRDefault="002D2845"/>
    <w:p w:rsidR="002D2845" w:rsidRDefault="002D2845"/>
    <w:p w:rsidR="002D2845" w:rsidRDefault="002D2845"/>
    <w:p w:rsidR="002D2845" w:rsidRDefault="002D2845"/>
    <w:p w:rsidR="002D2845" w:rsidRDefault="002D2845"/>
    <w:p w:rsidR="002D2845" w:rsidRDefault="002D2845"/>
    <w:p w:rsidR="002D2845" w:rsidRDefault="002D2845"/>
    <w:p w:rsidR="002D2845" w:rsidRDefault="002D2845"/>
    <w:p w:rsidR="002D2845" w:rsidRDefault="002D2845"/>
    <w:p w:rsidR="002D2845" w:rsidRDefault="002D2845"/>
    <w:p w:rsidR="002D2845" w:rsidRDefault="002D2845"/>
    <w:p w:rsidR="002D2845" w:rsidRDefault="002D2845"/>
    <w:p w:rsidR="002D2845" w:rsidRDefault="002D2845"/>
    <w:p w:rsidR="002D2845" w:rsidRDefault="002D2845"/>
    <w:p w:rsidR="002D2845" w:rsidRDefault="002D2845"/>
    <w:p w:rsidR="002D2845" w:rsidRDefault="002D2845"/>
    <w:p w:rsidR="002D2845" w:rsidRDefault="002D2845"/>
    <w:p w:rsidR="002D2845" w:rsidRDefault="002D2845"/>
    <w:p w:rsidR="002D2845" w:rsidRDefault="002D2845"/>
    <w:p w:rsidR="002D2845" w:rsidRDefault="002D2845"/>
    <w:p w:rsidR="002D2845" w:rsidRDefault="002D2845"/>
    <w:p w:rsidR="002D2845" w:rsidRDefault="002D2845"/>
    <w:p w:rsidR="002D2845" w:rsidRDefault="002D2845"/>
    <w:p w:rsidR="002D2845" w:rsidRPr="00512AFD" w:rsidRDefault="002D2845" w:rsidP="002D2845">
      <w:pPr>
        <w:spacing w:before="120" w:after="120"/>
        <w:jc w:val="center"/>
        <w:rPr>
          <w:rFonts w:asciiTheme="minorHAnsi" w:hAnsiTheme="minorHAnsi" w:cs="Arial"/>
          <w:sz w:val="28"/>
          <w:szCs w:val="28"/>
        </w:rPr>
      </w:pPr>
      <w:r w:rsidRPr="00512AFD">
        <w:rPr>
          <w:rFonts w:asciiTheme="minorHAnsi" w:hAnsiTheme="minorHAnsi" w:cs="Arial"/>
          <w:b/>
          <w:bCs/>
          <w:sz w:val="28"/>
          <w:szCs w:val="28"/>
        </w:rPr>
        <w:t>TERMO DE REFERÊNCIA</w:t>
      </w:r>
    </w:p>
    <w:p w:rsidR="002D2845" w:rsidRPr="00A252CB" w:rsidRDefault="002D2845" w:rsidP="002D2845">
      <w:pPr>
        <w:spacing w:before="120" w:after="120"/>
        <w:ind w:firstLine="709"/>
        <w:jc w:val="both"/>
        <w:rPr>
          <w:rFonts w:asciiTheme="minorHAnsi" w:hAnsiTheme="minorHAnsi" w:cs="Arial"/>
        </w:rPr>
      </w:pPr>
      <w:r w:rsidRPr="00A252CB">
        <w:rPr>
          <w:rFonts w:asciiTheme="minorHAnsi" w:hAnsiTheme="minorHAnsi" w:cs="Arial"/>
        </w:rPr>
        <w:t xml:space="preserve">Em consonância ao que determina a Resolução do CMN n° 3.922/2010 no Art. 4°, fica estabelecido por meio do presente documento, denominado de Política Anual de Investimentos, elaborado, aprovado e controlado pelos órgãos de deliberação, controladoria e auxiliares, as diretrizes para guiar os processos de investimentos </w:t>
      </w:r>
      <w:proofErr w:type="spellStart"/>
      <w:proofErr w:type="gramStart"/>
      <w:r w:rsidRPr="00A252CB">
        <w:rPr>
          <w:rFonts w:asciiTheme="minorHAnsi" w:hAnsiTheme="minorHAnsi" w:cs="Arial"/>
        </w:rPr>
        <w:t>do</w:t>
      </w:r>
      <w:r w:rsidRPr="003D4F7F">
        <w:rPr>
          <w:rFonts w:asciiTheme="minorHAnsi" w:hAnsiTheme="minorHAnsi" w:cs="Arial"/>
        </w:rPr>
        <w:t>Colombo</w:t>
      </w:r>
      <w:proofErr w:type="spellEnd"/>
      <w:proofErr w:type="gramEnd"/>
      <w:r w:rsidRPr="003D4F7F">
        <w:rPr>
          <w:rFonts w:asciiTheme="minorHAnsi" w:hAnsiTheme="minorHAnsi" w:cs="Arial"/>
        </w:rPr>
        <w:t xml:space="preserve"> Previdência.</w:t>
      </w:r>
    </w:p>
    <w:p w:rsidR="002D2845" w:rsidRPr="003D4F7F" w:rsidRDefault="002D2845" w:rsidP="002D2845">
      <w:pPr>
        <w:spacing w:before="120" w:after="120"/>
        <w:ind w:firstLine="709"/>
        <w:jc w:val="both"/>
        <w:rPr>
          <w:rFonts w:asciiTheme="minorHAnsi" w:hAnsiTheme="minorHAnsi" w:cs="Arial"/>
        </w:rPr>
      </w:pPr>
      <w:r w:rsidRPr="00A252CB">
        <w:rPr>
          <w:rFonts w:asciiTheme="minorHAnsi" w:hAnsiTheme="minorHAnsi" w:cs="Arial"/>
        </w:rPr>
        <w:t xml:space="preserve">A elaboração desta Política de Investimentos conta com a prestação da empresa de Consultoria de Valores Mobiliários, Comitê de Investimentos e Diretoria Executiva, bem como o responsável Gestor, </w:t>
      </w:r>
      <w:r w:rsidRPr="003D4F7F">
        <w:rPr>
          <w:rFonts w:asciiTheme="minorHAnsi" w:hAnsiTheme="minorHAnsi" w:cs="Arial"/>
        </w:rPr>
        <w:t>detentor da Certificação Profissional ANBIMA – CPA.</w:t>
      </w:r>
    </w:p>
    <w:p w:rsidR="002D2845" w:rsidRPr="003D4F7F" w:rsidRDefault="002D2845" w:rsidP="002D2845">
      <w:pPr>
        <w:spacing w:before="120" w:after="120"/>
        <w:ind w:firstLine="709"/>
        <w:jc w:val="both"/>
        <w:rPr>
          <w:rFonts w:asciiTheme="minorHAnsi" w:hAnsiTheme="minorHAnsi" w:cs="Arial"/>
        </w:rPr>
      </w:pPr>
      <w:r w:rsidRPr="003D4F7F">
        <w:rPr>
          <w:rFonts w:asciiTheme="minorHAnsi" w:hAnsiTheme="minorHAnsi" w:cs="Arial"/>
        </w:rPr>
        <w:t>Suas diretrizes visam atender, além das exigências legais da atual Resolução, bem como as Portarias do MPS n° 519/2011, n° 170/2012 e n° 440/2013, propiciar um instrumento de orientação, controle e gestão para os procedimentos, envolvendo os atuais e futuros investimentos do Colombo Previdência.</w:t>
      </w:r>
    </w:p>
    <w:p w:rsidR="002D2845" w:rsidRPr="00A252CB" w:rsidRDefault="002D2845" w:rsidP="002D2845">
      <w:pPr>
        <w:spacing w:before="120" w:after="120"/>
        <w:ind w:firstLine="709"/>
        <w:jc w:val="both"/>
        <w:rPr>
          <w:rFonts w:asciiTheme="minorHAnsi" w:hAnsiTheme="minorHAnsi" w:cs="Arial"/>
        </w:rPr>
      </w:pPr>
      <w:r w:rsidRPr="003D4F7F">
        <w:rPr>
          <w:rFonts w:asciiTheme="minorHAnsi" w:hAnsiTheme="minorHAnsi" w:cs="Arial"/>
        </w:rPr>
        <w:t>A Política de Investimentos previamente deve ser</w:t>
      </w:r>
      <w:r w:rsidRPr="00A252CB">
        <w:rPr>
          <w:rFonts w:asciiTheme="minorHAnsi" w:hAnsiTheme="minorHAnsi" w:cs="Arial"/>
        </w:rPr>
        <w:t xml:space="preserve"> aprovada pelo órgão superior competente e posteriormente divulgada e/ou publicada para apreciação de todos os interessados.</w:t>
      </w:r>
    </w:p>
    <w:p w:rsidR="002D2845" w:rsidRPr="00A252CB" w:rsidRDefault="002D2845" w:rsidP="002D2845">
      <w:pPr>
        <w:spacing w:before="120" w:after="120"/>
        <w:ind w:firstLine="709"/>
        <w:jc w:val="both"/>
        <w:rPr>
          <w:rFonts w:asciiTheme="minorHAnsi" w:hAnsiTheme="minorHAnsi" w:cs="Arial"/>
        </w:rPr>
      </w:pPr>
      <w:r w:rsidRPr="00A252CB">
        <w:rPr>
          <w:rFonts w:asciiTheme="minorHAnsi" w:hAnsiTheme="minorHAnsi" w:cs="Arial"/>
        </w:rPr>
        <w:t xml:space="preserve">Ao longo do documento, utilizam-se previsões de cenários projetados pelo mercado, segundo o Relatório </w:t>
      </w:r>
      <w:proofErr w:type="spellStart"/>
      <w:r w:rsidRPr="00A252CB">
        <w:rPr>
          <w:rFonts w:asciiTheme="minorHAnsi" w:hAnsiTheme="minorHAnsi" w:cs="Arial"/>
        </w:rPr>
        <w:t>Focus</w:t>
      </w:r>
      <w:proofErr w:type="spellEnd"/>
      <w:r w:rsidRPr="00A252CB">
        <w:rPr>
          <w:rFonts w:asciiTheme="minorHAnsi" w:hAnsiTheme="minorHAnsi" w:cs="Arial"/>
        </w:rPr>
        <w:t xml:space="preserve"> do Banco Central.</w:t>
      </w:r>
    </w:p>
    <w:p w:rsidR="002D2845" w:rsidRDefault="002D2845"/>
    <w:p w:rsidR="002D2845" w:rsidRDefault="002D2845"/>
    <w:p w:rsidR="002D2845" w:rsidRDefault="002D2845"/>
    <w:p w:rsidR="002D2845" w:rsidRDefault="002D2845"/>
    <w:p w:rsidR="002D2845" w:rsidRDefault="002D2845"/>
    <w:p w:rsidR="002D2845" w:rsidRDefault="002D2845"/>
    <w:p w:rsidR="002D2845" w:rsidRDefault="002D2845"/>
    <w:p w:rsidR="002D2845" w:rsidRDefault="002D2845"/>
    <w:p w:rsidR="002D2845" w:rsidRDefault="002D2845"/>
    <w:p w:rsidR="002D2845" w:rsidRDefault="002D2845"/>
    <w:p w:rsidR="002D2845" w:rsidRDefault="002D2845"/>
    <w:p w:rsidR="002D2845" w:rsidRDefault="002D2845"/>
    <w:p w:rsidR="002D2845" w:rsidRDefault="002D2845"/>
    <w:p w:rsidR="002D2845" w:rsidRDefault="002D2845"/>
    <w:p w:rsidR="002D2845" w:rsidRDefault="002D2845"/>
    <w:p w:rsidR="002D2845" w:rsidRDefault="002D2845"/>
    <w:p w:rsidR="002D2845" w:rsidRDefault="002D2845"/>
    <w:p w:rsidR="002D2845" w:rsidRDefault="002D2845"/>
    <w:p w:rsidR="002D2845" w:rsidRDefault="002D2845"/>
    <w:p w:rsidR="002D2845" w:rsidRDefault="002D2845"/>
    <w:p w:rsidR="002D2845" w:rsidRDefault="002D2845"/>
    <w:p w:rsidR="002D2845" w:rsidRDefault="002D2845"/>
    <w:p w:rsidR="002D2845" w:rsidRDefault="002D2845"/>
    <w:p w:rsidR="002D2845" w:rsidRDefault="002D2845"/>
    <w:p w:rsidR="002D2845" w:rsidRDefault="002D2845"/>
    <w:p w:rsidR="002D2845" w:rsidRDefault="002D2845"/>
    <w:p w:rsidR="002D2845" w:rsidRDefault="002D2845"/>
    <w:p w:rsidR="002D2845" w:rsidRPr="00A252CB" w:rsidRDefault="002D2845" w:rsidP="002D2845">
      <w:pPr>
        <w:pStyle w:val="CabealhodoSumrio"/>
        <w:spacing w:before="120" w:after="120" w:line="240" w:lineRule="auto"/>
        <w:jc w:val="center"/>
        <w:rPr>
          <w:rFonts w:asciiTheme="minorHAnsi" w:hAnsiTheme="minorHAnsi" w:cs="Arial"/>
          <w:b/>
          <w:color w:val="auto"/>
          <w:sz w:val="28"/>
          <w:szCs w:val="28"/>
        </w:rPr>
      </w:pPr>
      <w:r w:rsidRPr="00A252CB">
        <w:rPr>
          <w:rFonts w:asciiTheme="minorHAnsi" w:hAnsiTheme="minorHAnsi" w:cs="Arial"/>
          <w:b/>
          <w:color w:val="auto"/>
          <w:sz w:val="28"/>
          <w:szCs w:val="28"/>
        </w:rPr>
        <w:t>SUMÁRIO</w:t>
      </w:r>
    </w:p>
    <w:p w:rsidR="002D2845" w:rsidRPr="001F2EA0" w:rsidRDefault="002D2845" w:rsidP="002D2845">
      <w:pPr>
        <w:spacing w:before="120" w:after="120"/>
        <w:rPr>
          <w:rFonts w:asciiTheme="minorHAnsi" w:hAnsiTheme="minorHAnsi" w:cs="Arial"/>
          <w:lang w:eastAsia="pt-BR"/>
        </w:rPr>
      </w:pPr>
    </w:p>
    <w:p w:rsidR="002D2845" w:rsidRPr="00A13E2B" w:rsidRDefault="00841E3B" w:rsidP="002D2845">
      <w:pPr>
        <w:pStyle w:val="Sumrio1"/>
        <w:tabs>
          <w:tab w:val="left" w:pos="480"/>
          <w:tab w:val="right" w:leader="dot" w:pos="8495"/>
        </w:tabs>
        <w:spacing w:line="360" w:lineRule="auto"/>
        <w:rPr>
          <w:rFonts w:asciiTheme="minorHAnsi" w:eastAsiaTheme="minorEastAsia" w:hAnsiTheme="minorHAnsi" w:cstheme="minorBidi"/>
          <w:noProof/>
          <w:sz w:val="22"/>
          <w:szCs w:val="22"/>
          <w:lang w:eastAsia="pt-BR"/>
        </w:rPr>
      </w:pPr>
      <w:r w:rsidRPr="00841E3B">
        <w:rPr>
          <w:rFonts w:asciiTheme="minorHAnsi" w:hAnsiTheme="minorHAnsi" w:cs="Arial"/>
        </w:rPr>
        <w:fldChar w:fldCharType="begin"/>
      </w:r>
      <w:r w:rsidR="002D2845" w:rsidRPr="001F2EA0">
        <w:rPr>
          <w:rFonts w:asciiTheme="minorHAnsi" w:hAnsiTheme="minorHAnsi" w:cs="Arial"/>
        </w:rPr>
        <w:instrText xml:space="preserve"> TOC \o "1-3" \h \z \u </w:instrText>
      </w:r>
      <w:r w:rsidRPr="00841E3B">
        <w:rPr>
          <w:rFonts w:asciiTheme="minorHAnsi" w:hAnsiTheme="minorHAnsi" w:cs="Arial"/>
        </w:rPr>
        <w:fldChar w:fldCharType="separate"/>
      </w:r>
      <w:bookmarkStart w:id="0" w:name="_GoBack"/>
      <w:r w:rsidRPr="00A13E2B">
        <w:rPr>
          <w:rStyle w:val="Hyperlink"/>
          <w:rFonts w:asciiTheme="minorHAnsi" w:hAnsiTheme="minorHAnsi"/>
          <w:noProof/>
        </w:rPr>
        <w:fldChar w:fldCharType="begin"/>
      </w:r>
      <w:r w:rsidR="002D2845" w:rsidRPr="00A13E2B">
        <w:rPr>
          <w:rFonts w:asciiTheme="minorHAnsi" w:hAnsiTheme="minorHAnsi"/>
          <w:noProof/>
        </w:rPr>
        <w:instrText>HYPERLINK \l "_Toc404173771"</w:instrText>
      </w:r>
      <w:r w:rsidRPr="00A13E2B">
        <w:rPr>
          <w:rStyle w:val="Hyperlink"/>
          <w:rFonts w:asciiTheme="minorHAnsi" w:hAnsiTheme="minorHAnsi"/>
          <w:noProof/>
        </w:rPr>
        <w:fldChar w:fldCharType="separate"/>
      </w:r>
      <w:r w:rsidR="002D2845" w:rsidRPr="00A13E2B">
        <w:rPr>
          <w:rStyle w:val="Hyperlink"/>
          <w:rFonts w:asciiTheme="minorHAnsi" w:hAnsiTheme="minorHAnsi" w:cs="Arial"/>
          <w:noProof/>
        </w:rPr>
        <w:t>1.</w:t>
      </w:r>
      <w:r w:rsidR="002D2845" w:rsidRPr="00A13E2B">
        <w:rPr>
          <w:rFonts w:asciiTheme="minorHAnsi" w:eastAsiaTheme="minorEastAsia" w:hAnsiTheme="minorHAnsi" w:cstheme="minorBidi"/>
          <w:noProof/>
          <w:sz w:val="22"/>
          <w:szCs w:val="22"/>
          <w:lang w:eastAsia="pt-BR"/>
        </w:rPr>
        <w:tab/>
      </w:r>
      <w:r w:rsidR="002D2845" w:rsidRPr="00A13E2B">
        <w:rPr>
          <w:rStyle w:val="Hyperlink"/>
          <w:rFonts w:asciiTheme="minorHAnsi" w:hAnsiTheme="minorHAnsi" w:cs="Arial"/>
          <w:noProof/>
        </w:rPr>
        <w:t>INTRODUÇÃO</w:t>
      </w:r>
      <w:r w:rsidR="002D2845" w:rsidRPr="00A13E2B">
        <w:rPr>
          <w:rFonts w:asciiTheme="minorHAnsi" w:hAnsiTheme="minorHAnsi"/>
          <w:noProof/>
          <w:webHidden/>
        </w:rPr>
        <w:tab/>
      </w:r>
      <w:r w:rsidRPr="00A13E2B">
        <w:rPr>
          <w:rFonts w:asciiTheme="minorHAnsi" w:hAnsiTheme="minorHAnsi"/>
          <w:noProof/>
          <w:webHidden/>
        </w:rPr>
        <w:fldChar w:fldCharType="begin"/>
      </w:r>
      <w:r w:rsidR="002D2845" w:rsidRPr="00A13E2B">
        <w:rPr>
          <w:rFonts w:asciiTheme="minorHAnsi" w:hAnsiTheme="minorHAnsi"/>
          <w:noProof/>
          <w:webHidden/>
        </w:rPr>
        <w:instrText xml:space="preserve"> PAGEREF _Toc404173771 \h </w:instrText>
      </w:r>
      <w:r w:rsidRPr="00A13E2B">
        <w:rPr>
          <w:rFonts w:asciiTheme="minorHAnsi" w:hAnsiTheme="minorHAnsi"/>
          <w:noProof/>
          <w:webHidden/>
        </w:rPr>
      </w:r>
      <w:r w:rsidRPr="00A13E2B">
        <w:rPr>
          <w:rFonts w:asciiTheme="minorHAnsi" w:hAnsiTheme="minorHAnsi"/>
          <w:noProof/>
          <w:webHidden/>
        </w:rPr>
        <w:fldChar w:fldCharType="separate"/>
      </w:r>
      <w:r w:rsidR="007A4697">
        <w:rPr>
          <w:rFonts w:asciiTheme="minorHAnsi" w:hAnsiTheme="minorHAnsi"/>
          <w:noProof/>
          <w:webHidden/>
        </w:rPr>
        <w:t>4</w:t>
      </w:r>
      <w:r w:rsidRPr="00A13E2B">
        <w:rPr>
          <w:rFonts w:asciiTheme="minorHAnsi" w:hAnsiTheme="minorHAnsi"/>
          <w:noProof/>
          <w:webHidden/>
        </w:rPr>
        <w:fldChar w:fldCharType="end"/>
      </w:r>
      <w:r w:rsidRPr="00A13E2B">
        <w:rPr>
          <w:rStyle w:val="Hyperlink"/>
          <w:rFonts w:asciiTheme="minorHAnsi" w:hAnsiTheme="minorHAnsi"/>
          <w:noProof/>
        </w:rPr>
        <w:fldChar w:fldCharType="end"/>
      </w:r>
    </w:p>
    <w:p w:rsidR="002D2845" w:rsidRPr="00A13E2B" w:rsidRDefault="00841E3B" w:rsidP="002D2845">
      <w:pPr>
        <w:pStyle w:val="Sumrio1"/>
        <w:tabs>
          <w:tab w:val="left" w:pos="480"/>
          <w:tab w:val="right" w:leader="dot" w:pos="8495"/>
        </w:tabs>
        <w:spacing w:line="360" w:lineRule="auto"/>
        <w:rPr>
          <w:rFonts w:asciiTheme="minorHAnsi" w:eastAsiaTheme="minorEastAsia" w:hAnsiTheme="minorHAnsi" w:cstheme="minorBidi"/>
          <w:noProof/>
          <w:sz w:val="22"/>
          <w:szCs w:val="22"/>
          <w:lang w:eastAsia="pt-BR"/>
        </w:rPr>
      </w:pPr>
      <w:hyperlink w:anchor="_Toc404173772" w:history="1">
        <w:r w:rsidR="002D2845" w:rsidRPr="00A13E2B">
          <w:rPr>
            <w:rStyle w:val="Hyperlink"/>
            <w:rFonts w:asciiTheme="minorHAnsi" w:hAnsiTheme="minorHAnsi" w:cs="Arial"/>
            <w:noProof/>
          </w:rPr>
          <w:t>2.</w:t>
        </w:r>
        <w:r w:rsidR="002D2845" w:rsidRPr="00A13E2B">
          <w:rPr>
            <w:rFonts w:asciiTheme="minorHAnsi" w:eastAsiaTheme="minorEastAsia" w:hAnsiTheme="minorHAnsi" w:cstheme="minorBidi"/>
            <w:noProof/>
            <w:sz w:val="22"/>
            <w:szCs w:val="22"/>
            <w:lang w:eastAsia="pt-BR"/>
          </w:rPr>
          <w:tab/>
        </w:r>
        <w:r w:rsidR="002D2845" w:rsidRPr="00A13E2B">
          <w:rPr>
            <w:rStyle w:val="Hyperlink"/>
            <w:rFonts w:asciiTheme="minorHAnsi" w:hAnsiTheme="minorHAnsi" w:cs="Arial"/>
            <w:noProof/>
          </w:rPr>
          <w:t>OBJETIVOS</w:t>
        </w:r>
        <w:r w:rsidR="002D2845" w:rsidRPr="00A13E2B">
          <w:rPr>
            <w:rFonts w:asciiTheme="minorHAnsi" w:hAnsiTheme="minorHAnsi"/>
            <w:noProof/>
            <w:webHidden/>
          </w:rPr>
          <w:tab/>
        </w:r>
        <w:r w:rsidRPr="00A13E2B">
          <w:rPr>
            <w:rFonts w:asciiTheme="minorHAnsi" w:hAnsiTheme="minorHAnsi"/>
            <w:noProof/>
            <w:webHidden/>
          </w:rPr>
          <w:fldChar w:fldCharType="begin"/>
        </w:r>
        <w:r w:rsidR="002D2845" w:rsidRPr="00A13E2B">
          <w:rPr>
            <w:rFonts w:asciiTheme="minorHAnsi" w:hAnsiTheme="minorHAnsi"/>
            <w:noProof/>
            <w:webHidden/>
          </w:rPr>
          <w:instrText xml:space="preserve"> PAGEREF _Toc404173772 \h </w:instrText>
        </w:r>
        <w:r w:rsidRPr="00A13E2B">
          <w:rPr>
            <w:rFonts w:asciiTheme="minorHAnsi" w:hAnsiTheme="minorHAnsi"/>
            <w:noProof/>
            <w:webHidden/>
          </w:rPr>
        </w:r>
        <w:r w:rsidRPr="00A13E2B">
          <w:rPr>
            <w:rFonts w:asciiTheme="minorHAnsi" w:hAnsiTheme="minorHAnsi"/>
            <w:noProof/>
            <w:webHidden/>
          </w:rPr>
          <w:fldChar w:fldCharType="separate"/>
        </w:r>
        <w:r w:rsidR="007A4697">
          <w:rPr>
            <w:rFonts w:asciiTheme="minorHAnsi" w:hAnsiTheme="minorHAnsi"/>
            <w:noProof/>
            <w:webHidden/>
          </w:rPr>
          <w:t>4</w:t>
        </w:r>
        <w:r w:rsidRPr="00A13E2B">
          <w:rPr>
            <w:rFonts w:asciiTheme="minorHAnsi" w:hAnsiTheme="minorHAnsi"/>
            <w:noProof/>
            <w:webHidden/>
          </w:rPr>
          <w:fldChar w:fldCharType="end"/>
        </w:r>
      </w:hyperlink>
    </w:p>
    <w:p w:rsidR="002D2845" w:rsidRPr="00A13E2B" w:rsidRDefault="00841E3B" w:rsidP="002D2845">
      <w:pPr>
        <w:pStyle w:val="Sumrio1"/>
        <w:tabs>
          <w:tab w:val="left" w:pos="480"/>
          <w:tab w:val="right" w:leader="dot" w:pos="8495"/>
        </w:tabs>
        <w:spacing w:line="360" w:lineRule="auto"/>
        <w:rPr>
          <w:rFonts w:asciiTheme="minorHAnsi" w:eastAsiaTheme="minorEastAsia" w:hAnsiTheme="minorHAnsi" w:cstheme="minorBidi"/>
          <w:noProof/>
          <w:sz w:val="22"/>
          <w:szCs w:val="22"/>
          <w:lang w:eastAsia="pt-BR"/>
        </w:rPr>
      </w:pPr>
      <w:hyperlink w:anchor="_Toc404173773" w:history="1">
        <w:r w:rsidR="002D2845" w:rsidRPr="00A13E2B">
          <w:rPr>
            <w:rStyle w:val="Hyperlink"/>
            <w:rFonts w:asciiTheme="minorHAnsi" w:hAnsiTheme="minorHAnsi" w:cs="Arial"/>
            <w:noProof/>
          </w:rPr>
          <w:t>3.</w:t>
        </w:r>
        <w:r w:rsidR="002D2845" w:rsidRPr="00A13E2B">
          <w:rPr>
            <w:rFonts w:asciiTheme="minorHAnsi" w:eastAsiaTheme="minorEastAsia" w:hAnsiTheme="minorHAnsi" w:cstheme="minorBidi"/>
            <w:noProof/>
            <w:sz w:val="22"/>
            <w:szCs w:val="22"/>
            <w:lang w:eastAsia="pt-BR"/>
          </w:rPr>
          <w:tab/>
        </w:r>
        <w:r w:rsidR="002D2845" w:rsidRPr="00A13E2B">
          <w:rPr>
            <w:rStyle w:val="Hyperlink"/>
            <w:rFonts w:asciiTheme="minorHAnsi" w:hAnsiTheme="minorHAnsi" w:cs="Arial"/>
            <w:noProof/>
          </w:rPr>
          <w:t>META ATUARIAL</w:t>
        </w:r>
        <w:r w:rsidR="002D2845" w:rsidRPr="00A13E2B">
          <w:rPr>
            <w:rFonts w:asciiTheme="minorHAnsi" w:hAnsiTheme="minorHAnsi"/>
            <w:noProof/>
            <w:webHidden/>
          </w:rPr>
          <w:tab/>
        </w:r>
        <w:r w:rsidRPr="00A13E2B">
          <w:rPr>
            <w:rFonts w:asciiTheme="minorHAnsi" w:hAnsiTheme="minorHAnsi"/>
            <w:noProof/>
            <w:webHidden/>
          </w:rPr>
          <w:fldChar w:fldCharType="begin"/>
        </w:r>
        <w:r w:rsidR="002D2845" w:rsidRPr="00A13E2B">
          <w:rPr>
            <w:rFonts w:asciiTheme="minorHAnsi" w:hAnsiTheme="minorHAnsi"/>
            <w:noProof/>
            <w:webHidden/>
          </w:rPr>
          <w:instrText xml:space="preserve"> PAGEREF _Toc404173773 \h </w:instrText>
        </w:r>
        <w:r w:rsidRPr="00A13E2B">
          <w:rPr>
            <w:rFonts w:asciiTheme="minorHAnsi" w:hAnsiTheme="minorHAnsi"/>
            <w:noProof/>
            <w:webHidden/>
          </w:rPr>
        </w:r>
        <w:r w:rsidRPr="00A13E2B">
          <w:rPr>
            <w:rFonts w:asciiTheme="minorHAnsi" w:hAnsiTheme="minorHAnsi"/>
            <w:noProof/>
            <w:webHidden/>
          </w:rPr>
          <w:fldChar w:fldCharType="separate"/>
        </w:r>
        <w:r w:rsidR="007A4697">
          <w:rPr>
            <w:rFonts w:asciiTheme="minorHAnsi" w:hAnsiTheme="minorHAnsi"/>
            <w:noProof/>
            <w:webHidden/>
          </w:rPr>
          <w:t>5</w:t>
        </w:r>
        <w:r w:rsidRPr="00A13E2B">
          <w:rPr>
            <w:rFonts w:asciiTheme="minorHAnsi" w:hAnsiTheme="minorHAnsi"/>
            <w:noProof/>
            <w:webHidden/>
          </w:rPr>
          <w:fldChar w:fldCharType="end"/>
        </w:r>
      </w:hyperlink>
    </w:p>
    <w:p w:rsidR="002D2845" w:rsidRPr="00A13E2B" w:rsidRDefault="00841E3B" w:rsidP="002D2845">
      <w:pPr>
        <w:pStyle w:val="Sumrio1"/>
        <w:tabs>
          <w:tab w:val="left" w:pos="480"/>
          <w:tab w:val="right" w:leader="dot" w:pos="8495"/>
        </w:tabs>
        <w:spacing w:line="360" w:lineRule="auto"/>
        <w:rPr>
          <w:rFonts w:asciiTheme="minorHAnsi" w:eastAsiaTheme="minorEastAsia" w:hAnsiTheme="minorHAnsi" w:cstheme="minorBidi"/>
          <w:noProof/>
          <w:sz w:val="22"/>
          <w:szCs w:val="22"/>
          <w:lang w:eastAsia="pt-BR"/>
        </w:rPr>
      </w:pPr>
      <w:hyperlink w:anchor="_Toc404173774" w:history="1">
        <w:r w:rsidR="002D2845" w:rsidRPr="00A13E2B">
          <w:rPr>
            <w:rStyle w:val="Hyperlink"/>
            <w:rFonts w:asciiTheme="minorHAnsi" w:hAnsiTheme="minorHAnsi" w:cs="Arial"/>
            <w:noProof/>
          </w:rPr>
          <w:t>4.</w:t>
        </w:r>
        <w:r w:rsidR="002D2845" w:rsidRPr="00A13E2B">
          <w:rPr>
            <w:rFonts w:asciiTheme="minorHAnsi" w:eastAsiaTheme="minorEastAsia" w:hAnsiTheme="minorHAnsi" w:cstheme="minorBidi"/>
            <w:noProof/>
            <w:sz w:val="22"/>
            <w:szCs w:val="22"/>
            <w:lang w:eastAsia="pt-BR"/>
          </w:rPr>
          <w:tab/>
        </w:r>
        <w:r w:rsidR="002D2845" w:rsidRPr="00A13E2B">
          <w:rPr>
            <w:rStyle w:val="Hyperlink"/>
            <w:rFonts w:asciiTheme="minorHAnsi" w:hAnsiTheme="minorHAnsi" w:cs="Arial"/>
            <w:noProof/>
          </w:rPr>
          <w:t>MODELO DE GESTÃO</w:t>
        </w:r>
        <w:r w:rsidR="002D2845" w:rsidRPr="00A13E2B">
          <w:rPr>
            <w:rFonts w:asciiTheme="minorHAnsi" w:hAnsiTheme="minorHAnsi"/>
            <w:noProof/>
            <w:webHidden/>
          </w:rPr>
          <w:tab/>
        </w:r>
        <w:r w:rsidRPr="00A13E2B">
          <w:rPr>
            <w:rFonts w:asciiTheme="minorHAnsi" w:hAnsiTheme="minorHAnsi"/>
            <w:noProof/>
            <w:webHidden/>
          </w:rPr>
          <w:fldChar w:fldCharType="begin"/>
        </w:r>
        <w:r w:rsidR="002D2845" w:rsidRPr="00A13E2B">
          <w:rPr>
            <w:rFonts w:asciiTheme="minorHAnsi" w:hAnsiTheme="minorHAnsi"/>
            <w:noProof/>
            <w:webHidden/>
          </w:rPr>
          <w:instrText xml:space="preserve"> PAGEREF _Toc404173774 \h </w:instrText>
        </w:r>
        <w:r w:rsidRPr="00A13E2B">
          <w:rPr>
            <w:rFonts w:asciiTheme="minorHAnsi" w:hAnsiTheme="minorHAnsi"/>
            <w:noProof/>
            <w:webHidden/>
          </w:rPr>
        </w:r>
        <w:r w:rsidRPr="00A13E2B">
          <w:rPr>
            <w:rFonts w:asciiTheme="minorHAnsi" w:hAnsiTheme="minorHAnsi"/>
            <w:noProof/>
            <w:webHidden/>
          </w:rPr>
          <w:fldChar w:fldCharType="separate"/>
        </w:r>
        <w:r w:rsidR="007A4697">
          <w:rPr>
            <w:rFonts w:asciiTheme="minorHAnsi" w:hAnsiTheme="minorHAnsi"/>
            <w:noProof/>
            <w:webHidden/>
          </w:rPr>
          <w:t>5</w:t>
        </w:r>
        <w:r w:rsidRPr="00A13E2B">
          <w:rPr>
            <w:rFonts w:asciiTheme="minorHAnsi" w:hAnsiTheme="minorHAnsi"/>
            <w:noProof/>
            <w:webHidden/>
          </w:rPr>
          <w:fldChar w:fldCharType="end"/>
        </w:r>
      </w:hyperlink>
    </w:p>
    <w:p w:rsidR="002D2845" w:rsidRPr="00A13E2B" w:rsidRDefault="00841E3B" w:rsidP="002D2845">
      <w:pPr>
        <w:pStyle w:val="Sumrio1"/>
        <w:tabs>
          <w:tab w:val="left" w:pos="480"/>
          <w:tab w:val="right" w:leader="dot" w:pos="8495"/>
        </w:tabs>
        <w:spacing w:line="360" w:lineRule="auto"/>
        <w:rPr>
          <w:rFonts w:asciiTheme="minorHAnsi" w:eastAsiaTheme="minorEastAsia" w:hAnsiTheme="minorHAnsi" w:cstheme="minorBidi"/>
          <w:noProof/>
          <w:sz w:val="22"/>
          <w:szCs w:val="22"/>
          <w:lang w:eastAsia="pt-BR"/>
        </w:rPr>
      </w:pPr>
      <w:hyperlink w:anchor="_Toc404173775" w:history="1">
        <w:r w:rsidR="002D2845" w:rsidRPr="00A13E2B">
          <w:rPr>
            <w:rStyle w:val="Hyperlink"/>
            <w:rFonts w:asciiTheme="minorHAnsi" w:hAnsiTheme="minorHAnsi" w:cs="Arial"/>
            <w:noProof/>
          </w:rPr>
          <w:t>5.</w:t>
        </w:r>
        <w:r w:rsidR="002D2845" w:rsidRPr="00A13E2B">
          <w:rPr>
            <w:rFonts w:asciiTheme="minorHAnsi" w:eastAsiaTheme="minorEastAsia" w:hAnsiTheme="minorHAnsi" w:cstheme="minorBidi"/>
            <w:noProof/>
            <w:sz w:val="22"/>
            <w:szCs w:val="22"/>
            <w:lang w:eastAsia="pt-BR"/>
          </w:rPr>
          <w:tab/>
        </w:r>
        <w:r w:rsidR="002D2845" w:rsidRPr="00A13E2B">
          <w:rPr>
            <w:rStyle w:val="Hyperlink"/>
            <w:rFonts w:asciiTheme="minorHAnsi" w:hAnsiTheme="minorHAnsi" w:cs="Arial"/>
            <w:noProof/>
          </w:rPr>
          <w:t>OBRIGAÇÕES DOS GESTORES DO RPPS</w:t>
        </w:r>
        <w:r w:rsidR="002D2845" w:rsidRPr="00A13E2B">
          <w:rPr>
            <w:rFonts w:asciiTheme="minorHAnsi" w:hAnsiTheme="minorHAnsi"/>
            <w:noProof/>
            <w:webHidden/>
          </w:rPr>
          <w:tab/>
        </w:r>
        <w:r w:rsidRPr="00A13E2B">
          <w:rPr>
            <w:rFonts w:asciiTheme="minorHAnsi" w:hAnsiTheme="minorHAnsi"/>
            <w:noProof/>
            <w:webHidden/>
          </w:rPr>
          <w:fldChar w:fldCharType="begin"/>
        </w:r>
        <w:r w:rsidR="002D2845" w:rsidRPr="00A13E2B">
          <w:rPr>
            <w:rFonts w:asciiTheme="minorHAnsi" w:hAnsiTheme="minorHAnsi"/>
            <w:noProof/>
            <w:webHidden/>
          </w:rPr>
          <w:instrText xml:space="preserve"> PAGEREF _Toc404173775 \h </w:instrText>
        </w:r>
        <w:r w:rsidRPr="00A13E2B">
          <w:rPr>
            <w:rFonts w:asciiTheme="minorHAnsi" w:hAnsiTheme="minorHAnsi"/>
            <w:noProof/>
            <w:webHidden/>
          </w:rPr>
        </w:r>
        <w:r w:rsidRPr="00A13E2B">
          <w:rPr>
            <w:rFonts w:asciiTheme="minorHAnsi" w:hAnsiTheme="minorHAnsi"/>
            <w:noProof/>
            <w:webHidden/>
          </w:rPr>
          <w:fldChar w:fldCharType="separate"/>
        </w:r>
        <w:r w:rsidR="007A4697">
          <w:rPr>
            <w:rFonts w:asciiTheme="minorHAnsi" w:hAnsiTheme="minorHAnsi"/>
            <w:noProof/>
            <w:webHidden/>
          </w:rPr>
          <w:t>5</w:t>
        </w:r>
        <w:r w:rsidRPr="00A13E2B">
          <w:rPr>
            <w:rFonts w:asciiTheme="minorHAnsi" w:hAnsiTheme="minorHAnsi"/>
            <w:noProof/>
            <w:webHidden/>
          </w:rPr>
          <w:fldChar w:fldCharType="end"/>
        </w:r>
      </w:hyperlink>
    </w:p>
    <w:p w:rsidR="002D2845" w:rsidRPr="00A13E2B" w:rsidRDefault="00841E3B" w:rsidP="002D2845">
      <w:pPr>
        <w:pStyle w:val="Sumrio1"/>
        <w:tabs>
          <w:tab w:val="left" w:pos="480"/>
          <w:tab w:val="right" w:leader="dot" w:pos="8495"/>
        </w:tabs>
        <w:spacing w:line="360" w:lineRule="auto"/>
        <w:rPr>
          <w:rFonts w:asciiTheme="minorHAnsi" w:eastAsiaTheme="minorEastAsia" w:hAnsiTheme="minorHAnsi" w:cstheme="minorBidi"/>
          <w:noProof/>
          <w:sz w:val="22"/>
          <w:szCs w:val="22"/>
          <w:lang w:eastAsia="pt-BR"/>
        </w:rPr>
      </w:pPr>
      <w:hyperlink w:anchor="_Toc404173776" w:history="1">
        <w:r w:rsidR="002D2845" w:rsidRPr="00A13E2B">
          <w:rPr>
            <w:rStyle w:val="Hyperlink"/>
            <w:rFonts w:asciiTheme="minorHAnsi" w:hAnsiTheme="minorHAnsi" w:cs="Arial"/>
            <w:noProof/>
          </w:rPr>
          <w:t>6.</w:t>
        </w:r>
        <w:r w:rsidR="002D2845" w:rsidRPr="00A13E2B">
          <w:rPr>
            <w:rFonts w:asciiTheme="minorHAnsi" w:eastAsiaTheme="minorEastAsia" w:hAnsiTheme="minorHAnsi" w:cstheme="minorBidi"/>
            <w:noProof/>
            <w:sz w:val="22"/>
            <w:szCs w:val="22"/>
            <w:lang w:eastAsia="pt-BR"/>
          </w:rPr>
          <w:tab/>
        </w:r>
        <w:r w:rsidR="002D2845" w:rsidRPr="00A13E2B">
          <w:rPr>
            <w:rStyle w:val="Hyperlink"/>
            <w:rFonts w:asciiTheme="minorHAnsi" w:hAnsiTheme="minorHAnsi" w:cs="Arial"/>
            <w:noProof/>
          </w:rPr>
          <w:t>VIGÊNCIA DA POLITICA DE INVESTIMENTOS</w:t>
        </w:r>
        <w:r w:rsidR="002D2845" w:rsidRPr="00A13E2B">
          <w:rPr>
            <w:rFonts w:asciiTheme="minorHAnsi" w:hAnsiTheme="minorHAnsi"/>
            <w:noProof/>
            <w:webHidden/>
          </w:rPr>
          <w:tab/>
        </w:r>
        <w:r w:rsidRPr="00A13E2B">
          <w:rPr>
            <w:rFonts w:asciiTheme="minorHAnsi" w:hAnsiTheme="minorHAnsi"/>
            <w:noProof/>
            <w:webHidden/>
          </w:rPr>
          <w:fldChar w:fldCharType="begin"/>
        </w:r>
        <w:r w:rsidR="002D2845" w:rsidRPr="00A13E2B">
          <w:rPr>
            <w:rFonts w:asciiTheme="minorHAnsi" w:hAnsiTheme="minorHAnsi"/>
            <w:noProof/>
            <w:webHidden/>
          </w:rPr>
          <w:instrText xml:space="preserve"> PAGEREF _Toc404173776 \h </w:instrText>
        </w:r>
        <w:r w:rsidRPr="00A13E2B">
          <w:rPr>
            <w:rFonts w:asciiTheme="minorHAnsi" w:hAnsiTheme="minorHAnsi"/>
            <w:noProof/>
            <w:webHidden/>
          </w:rPr>
        </w:r>
        <w:r w:rsidRPr="00A13E2B">
          <w:rPr>
            <w:rFonts w:asciiTheme="minorHAnsi" w:hAnsiTheme="minorHAnsi"/>
            <w:noProof/>
            <w:webHidden/>
          </w:rPr>
          <w:fldChar w:fldCharType="separate"/>
        </w:r>
        <w:r w:rsidR="007A4697">
          <w:rPr>
            <w:rFonts w:asciiTheme="minorHAnsi" w:hAnsiTheme="minorHAnsi"/>
            <w:noProof/>
            <w:webHidden/>
          </w:rPr>
          <w:t>7</w:t>
        </w:r>
        <w:r w:rsidRPr="00A13E2B">
          <w:rPr>
            <w:rFonts w:asciiTheme="minorHAnsi" w:hAnsiTheme="minorHAnsi"/>
            <w:noProof/>
            <w:webHidden/>
          </w:rPr>
          <w:fldChar w:fldCharType="end"/>
        </w:r>
      </w:hyperlink>
    </w:p>
    <w:p w:rsidR="002D2845" w:rsidRPr="00A13E2B" w:rsidRDefault="00841E3B" w:rsidP="002D2845">
      <w:pPr>
        <w:pStyle w:val="Sumrio1"/>
        <w:tabs>
          <w:tab w:val="left" w:pos="480"/>
          <w:tab w:val="right" w:leader="dot" w:pos="8495"/>
        </w:tabs>
        <w:spacing w:line="360" w:lineRule="auto"/>
        <w:rPr>
          <w:rFonts w:asciiTheme="minorHAnsi" w:eastAsiaTheme="minorEastAsia" w:hAnsiTheme="minorHAnsi" w:cstheme="minorBidi"/>
          <w:noProof/>
          <w:sz w:val="22"/>
          <w:szCs w:val="22"/>
          <w:lang w:eastAsia="pt-BR"/>
        </w:rPr>
      </w:pPr>
      <w:hyperlink w:anchor="_Toc404173777" w:history="1">
        <w:r w:rsidR="002D2845" w:rsidRPr="00A13E2B">
          <w:rPr>
            <w:rStyle w:val="Hyperlink"/>
            <w:rFonts w:asciiTheme="minorHAnsi" w:hAnsiTheme="minorHAnsi" w:cs="Arial"/>
            <w:noProof/>
          </w:rPr>
          <w:t>7.</w:t>
        </w:r>
        <w:r w:rsidR="002D2845" w:rsidRPr="00A13E2B">
          <w:rPr>
            <w:rFonts w:asciiTheme="minorHAnsi" w:eastAsiaTheme="minorEastAsia" w:hAnsiTheme="minorHAnsi" w:cstheme="minorBidi"/>
            <w:noProof/>
            <w:sz w:val="22"/>
            <w:szCs w:val="22"/>
            <w:lang w:eastAsia="pt-BR"/>
          </w:rPr>
          <w:tab/>
        </w:r>
        <w:r w:rsidR="002D2845" w:rsidRPr="00A13E2B">
          <w:rPr>
            <w:rStyle w:val="Hyperlink"/>
            <w:rFonts w:asciiTheme="minorHAnsi" w:hAnsiTheme="minorHAnsi" w:cs="Arial"/>
            <w:noProof/>
          </w:rPr>
          <w:t>ESTRUTURA DA GESTÃO DOS ATIVOS</w:t>
        </w:r>
        <w:r w:rsidR="002D2845" w:rsidRPr="00A13E2B">
          <w:rPr>
            <w:rFonts w:asciiTheme="minorHAnsi" w:hAnsiTheme="minorHAnsi"/>
            <w:noProof/>
            <w:webHidden/>
          </w:rPr>
          <w:tab/>
        </w:r>
        <w:r w:rsidRPr="00A13E2B">
          <w:rPr>
            <w:rFonts w:asciiTheme="minorHAnsi" w:hAnsiTheme="minorHAnsi"/>
            <w:noProof/>
            <w:webHidden/>
          </w:rPr>
          <w:fldChar w:fldCharType="begin"/>
        </w:r>
        <w:r w:rsidR="002D2845" w:rsidRPr="00A13E2B">
          <w:rPr>
            <w:rFonts w:asciiTheme="minorHAnsi" w:hAnsiTheme="minorHAnsi"/>
            <w:noProof/>
            <w:webHidden/>
          </w:rPr>
          <w:instrText xml:space="preserve"> PAGEREF _Toc404173777 \h </w:instrText>
        </w:r>
        <w:r w:rsidRPr="00A13E2B">
          <w:rPr>
            <w:rFonts w:asciiTheme="minorHAnsi" w:hAnsiTheme="minorHAnsi"/>
            <w:noProof/>
            <w:webHidden/>
          </w:rPr>
        </w:r>
        <w:r w:rsidRPr="00A13E2B">
          <w:rPr>
            <w:rFonts w:asciiTheme="minorHAnsi" w:hAnsiTheme="minorHAnsi"/>
            <w:noProof/>
            <w:webHidden/>
          </w:rPr>
          <w:fldChar w:fldCharType="separate"/>
        </w:r>
        <w:r w:rsidR="007A4697">
          <w:rPr>
            <w:rFonts w:asciiTheme="minorHAnsi" w:hAnsiTheme="minorHAnsi"/>
            <w:noProof/>
            <w:webHidden/>
          </w:rPr>
          <w:t>7</w:t>
        </w:r>
        <w:r w:rsidRPr="00A13E2B">
          <w:rPr>
            <w:rFonts w:asciiTheme="minorHAnsi" w:hAnsiTheme="minorHAnsi"/>
            <w:noProof/>
            <w:webHidden/>
          </w:rPr>
          <w:fldChar w:fldCharType="end"/>
        </w:r>
      </w:hyperlink>
    </w:p>
    <w:p w:rsidR="002D2845" w:rsidRPr="00A13E2B" w:rsidRDefault="00841E3B" w:rsidP="002D2845">
      <w:pPr>
        <w:pStyle w:val="Sumrio1"/>
        <w:tabs>
          <w:tab w:val="left" w:pos="480"/>
          <w:tab w:val="right" w:leader="dot" w:pos="8495"/>
        </w:tabs>
        <w:spacing w:line="360" w:lineRule="auto"/>
        <w:rPr>
          <w:rFonts w:asciiTheme="minorHAnsi" w:eastAsiaTheme="minorEastAsia" w:hAnsiTheme="minorHAnsi" w:cstheme="minorBidi"/>
          <w:noProof/>
          <w:sz w:val="22"/>
          <w:szCs w:val="22"/>
          <w:lang w:eastAsia="pt-BR"/>
        </w:rPr>
      </w:pPr>
      <w:hyperlink w:anchor="_Toc404173778" w:history="1">
        <w:r w:rsidR="002D2845" w:rsidRPr="00A13E2B">
          <w:rPr>
            <w:rStyle w:val="Hyperlink"/>
            <w:rFonts w:asciiTheme="minorHAnsi" w:hAnsiTheme="minorHAnsi" w:cs="Arial"/>
            <w:noProof/>
          </w:rPr>
          <w:t>8.</w:t>
        </w:r>
        <w:r w:rsidR="002D2845" w:rsidRPr="00A13E2B">
          <w:rPr>
            <w:rFonts w:asciiTheme="minorHAnsi" w:eastAsiaTheme="minorEastAsia" w:hAnsiTheme="minorHAnsi" w:cstheme="minorBidi"/>
            <w:noProof/>
            <w:sz w:val="22"/>
            <w:szCs w:val="22"/>
            <w:lang w:eastAsia="pt-BR"/>
          </w:rPr>
          <w:tab/>
        </w:r>
        <w:r w:rsidR="002D2845" w:rsidRPr="00A13E2B">
          <w:rPr>
            <w:rStyle w:val="Hyperlink"/>
            <w:rFonts w:asciiTheme="minorHAnsi" w:hAnsiTheme="minorHAnsi" w:cs="Arial"/>
            <w:noProof/>
          </w:rPr>
          <w:t>SELEÇÃO E APLICAÇÃO DE ATIVOS E PRODUTOS DE INVESTIMENTOS</w:t>
        </w:r>
        <w:r w:rsidR="002D2845" w:rsidRPr="00A13E2B">
          <w:rPr>
            <w:rFonts w:asciiTheme="minorHAnsi" w:hAnsiTheme="minorHAnsi"/>
            <w:noProof/>
            <w:webHidden/>
          </w:rPr>
          <w:tab/>
        </w:r>
        <w:r w:rsidRPr="00A13E2B">
          <w:rPr>
            <w:rFonts w:asciiTheme="minorHAnsi" w:hAnsiTheme="minorHAnsi"/>
            <w:noProof/>
            <w:webHidden/>
          </w:rPr>
          <w:fldChar w:fldCharType="begin"/>
        </w:r>
        <w:r w:rsidR="002D2845" w:rsidRPr="00A13E2B">
          <w:rPr>
            <w:rFonts w:asciiTheme="minorHAnsi" w:hAnsiTheme="minorHAnsi"/>
            <w:noProof/>
            <w:webHidden/>
          </w:rPr>
          <w:instrText xml:space="preserve"> PAGEREF _Toc404173778 \h </w:instrText>
        </w:r>
        <w:r w:rsidRPr="00A13E2B">
          <w:rPr>
            <w:rFonts w:asciiTheme="minorHAnsi" w:hAnsiTheme="minorHAnsi"/>
            <w:noProof/>
            <w:webHidden/>
          </w:rPr>
        </w:r>
        <w:r w:rsidRPr="00A13E2B">
          <w:rPr>
            <w:rFonts w:asciiTheme="minorHAnsi" w:hAnsiTheme="minorHAnsi"/>
            <w:noProof/>
            <w:webHidden/>
          </w:rPr>
          <w:fldChar w:fldCharType="separate"/>
        </w:r>
        <w:r w:rsidR="007A4697">
          <w:rPr>
            <w:rFonts w:asciiTheme="minorHAnsi" w:hAnsiTheme="minorHAnsi"/>
            <w:noProof/>
            <w:webHidden/>
          </w:rPr>
          <w:t>10</w:t>
        </w:r>
        <w:r w:rsidRPr="00A13E2B">
          <w:rPr>
            <w:rFonts w:asciiTheme="minorHAnsi" w:hAnsiTheme="minorHAnsi"/>
            <w:noProof/>
            <w:webHidden/>
          </w:rPr>
          <w:fldChar w:fldCharType="end"/>
        </w:r>
      </w:hyperlink>
    </w:p>
    <w:p w:rsidR="002D2845" w:rsidRPr="00A13E2B" w:rsidRDefault="00841E3B" w:rsidP="002D2845">
      <w:pPr>
        <w:pStyle w:val="Sumrio1"/>
        <w:tabs>
          <w:tab w:val="left" w:pos="480"/>
          <w:tab w:val="right" w:leader="dot" w:pos="8495"/>
        </w:tabs>
        <w:spacing w:line="360" w:lineRule="auto"/>
        <w:rPr>
          <w:rFonts w:asciiTheme="minorHAnsi" w:eastAsiaTheme="minorEastAsia" w:hAnsiTheme="minorHAnsi" w:cstheme="minorBidi"/>
          <w:noProof/>
          <w:sz w:val="22"/>
          <w:szCs w:val="22"/>
          <w:lang w:eastAsia="pt-BR"/>
        </w:rPr>
      </w:pPr>
      <w:hyperlink w:anchor="_Toc404173779" w:history="1">
        <w:r w:rsidR="002D2845" w:rsidRPr="00A13E2B">
          <w:rPr>
            <w:rStyle w:val="Hyperlink"/>
            <w:rFonts w:asciiTheme="minorHAnsi" w:hAnsiTheme="minorHAnsi" w:cs="Arial"/>
            <w:noProof/>
          </w:rPr>
          <w:t>9.</w:t>
        </w:r>
        <w:r w:rsidR="002D2845" w:rsidRPr="00A13E2B">
          <w:rPr>
            <w:rFonts w:asciiTheme="minorHAnsi" w:eastAsiaTheme="minorEastAsia" w:hAnsiTheme="minorHAnsi" w:cstheme="minorBidi"/>
            <w:noProof/>
            <w:sz w:val="22"/>
            <w:szCs w:val="22"/>
            <w:lang w:eastAsia="pt-BR"/>
          </w:rPr>
          <w:tab/>
        </w:r>
        <w:r w:rsidR="002D2845" w:rsidRPr="00A13E2B">
          <w:rPr>
            <w:rStyle w:val="Hyperlink"/>
            <w:rFonts w:asciiTheme="minorHAnsi" w:hAnsiTheme="minorHAnsi" w:cs="Arial"/>
            <w:noProof/>
          </w:rPr>
          <w:t>ACOMPANHAMENTO E CONTROLE</w:t>
        </w:r>
        <w:r w:rsidR="002D2845" w:rsidRPr="00A13E2B">
          <w:rPr>
            <w:rFonts w:asciiTheme="minorHAnsi" w:hAnsiTheme="minorHAnsi"/>
            <w:noProof/>
            <w:webHidden/>
          </w:rPr>
          <w:tab/>
        </w:r>
        <w:r w:rsidRPr="00A13E2B">
          <w:rPr>
            <w:rFonts w:asciiTheme="minorHAnsi" w:hAnsiTheme="minorHAnsi"/>
            <w:noProof/>
            <w:webHidden/>
          </w:rPr>
          <w:fldChar w:fldCharType="begin"/>
        </w:r>
        <w:r w:rsidR="002D2845" w:rsidRPr="00A13E2B">
          <w:rPr>
            <w:rFonts w:asciiTheme="minorHAnsi" w:hAnsiTheme="minorHAnsi"/>
            <w:noProof/>
            <w:webHidden/>
          </w:rPr>
          <w:instrText xml:space="preserve"> PAGEREF _Toc404173779 \h </w:instrText>
        </w:r>
        <w:r w:rsidRPr="00A13E2B">
          <w:rPr>
            <w:rFonts w:asciiTheme="minorHAnsi" w:hAnsiTheme="minorHAnsi"/>
            <w:noProof/>
            <w:webHidden/>
          </w:rPr>
        </w:r>
        <w:r w:rsidRPr="00A13E2B">
          <w:rPr>
            <w:rFonts w:asciiTheme="minorHAnsi" w:hAnsiTheme="minorHAnsi"/>
            <w:noProof/>
            <w:webHidden/>
          </w:rPr>
          <w:fldChar w:fldCharType="separate"/>
        </w:r>
        <w:r w:rsidR="007A4697">
          <w:rPr>
            <w:rFonts w:asciiTheme="minorHAnsi" w:hAnsiTheme="minorHAnsi"/>
            <w:noProof/>
            <w:webHidden/>
          </w:rPr>
          <w:t>12</w:t>
        </w:r>
        <w:r w:rsidRPr="00A13E2B">
          <w:rPr>
            <w:rFonts w:asciiTheme="minorHAnsi" w:hAnsiTheme="minorHAnsi"/>
            <w:noProof/>
            <w:webHidden/>
          </w:rPr>
          <w:fldChar w:fldCharType="end"/>
        </w:r>
      </w:hyperlink>
    </w:p>
    <w:p w:rsidR="002D2845" w:rsidRPr="00A13E2B" w:rsidRDefault="00841E3B" w:rsidP="002D2845">
      <w:pPr>
        <w:pStyle w:val="Sumrio1"/>
        <w:tabs>
          <w:tab w:val="left" w:pos="660"/>
          <w:tab w:val="right" w:leader="dot" w:pos="8495"/>
        </w:tabs>
        <w:spacing w:line="360" w:lineRule="auto"/>
        <w:rPr>
          <w:rFonts w:asciiTheme="minorHAnsi" w:eastAsiaTheme="minorEastAsia" w:hAnsiTheme="minorHAnsi" w:cstheme="minorBidi"/>
          <w:noProof/>
          <w:sz w:val="22"/>
          <w:szCs w:val="22"/>
          <w:lang w:eastAsia="pt-BR"/>
        </w:rPr>
      </w:pPr>
      <w:hyperlink w:anchor="_Toc404173780" w:history="1">
        <w:r w:rsidR="002D2845" w:rsidRPr="00A13E2B">
          <w:rPr>
            <w:rStyle w:val="Hyperlink"/>
            <w:rFonts w:asciiTheme="minorHAnsi" w:hAnsiTheme="minorHAnsi" w:cs="Arial"/>
            <w:noProof/>
          </w:rPr>
          <w:t>10.</w:t>
        </w:r>
        <w:r w:rsidR="002D2845" w:rsidRPr="00A13E2B">
          <w:rPr>
            <w:rFonts w:asciiTheme="minorHAnsi" w:eastAsiaTheme="minorEastAsia" w:hAnsiTheme="minorHAnsi" w:cstheme="minorBidi"/>
            <w:noProof/>
            <w:sz w:val="22"/>
            <w:szCs w:val="22"/>
            <w:lang w:eastAsia="pt-BR"/>
          </w:rPr>
          <w:tab/>
        </w:r>
        <w:r w:rsidR="002D2845" w:rsidRPr="00A13E2B">
          <w:rPr>
            <w:rStyle w:val="Hyperlink"/>
            <w:rFonts w:asciiTheme="minorHAnsi" w:hAnsiTheme="minorHAnsi" w:cs="Arial"/>
            <w:noProof/>
          </w:rPr>
          <w:t>ESTRATÉGIA DE ALOCAÇÃO DOS RECURSOS</w:t>
        </w:r>
        <w:r w:rsidR="002D2845" w:rsidRPr="00A13E2B">
          <w:rPr>
            <w:rFonts w:asciiTheme="minorHAnsi" w:hAnsiTheme="minorHAnsi"/>
            <w:noProof/>
            <w:webHidden/>
          </w:rPr>
          <w:tab/>
        </w:r>
        <w:r w:rsidRPr="00A13E2B">
          <w:rPr>
            <w:rFonts w:asciiTheme="minorHAnsi" w:hAnsiTheme="minorHAnsi"/>
            <w:noProof/>
            <w:webHidden/>
          </w:rPr>
          <w:fldChar w:fldCharType="begin"/>
        </w:r>
        <w:r w:rsidR="002D2845" w:rsidRPr="00A13E2B">
          <w:rPr>
            <w:rFonts w:asciiTheme="minorHAnsi" w:hAnsiTheme="minorHAnsi"/>
            <w:noProof/>
            <w:webHidden/>
          </w:rPr>
          <w:instrText xml:space="preserve"> PAGEREF _Toc404173780 \h </w:instrText>
        </w:r>
        <w:r w:rsidRPr="00A13E2B">
          <w:rPr>
            <w:rFonts w:asciiTheme="minorHAnsi" w:hAnsiTheme="minorHAnsi"/>
            <w:noProof/>
            <w:webHidden/>
          </w:rPr>
        </w:r>
        <w:r w:rsidRPr="00A13E2B">
          <w:rPr>
            <w:rFonts w:asciiTheme="minorHAnsi" w:hAnsiTheme="minorHAnsi"/>
            <w:noProof/>
            <w:webHidden/>
          </w:rPr>
          <w:fldChar w:fldCharType="separate"/>
        </w:r>
        <w:r w:rsidR="007A4697">
          <w:rPr>
            <w:rFonts w:asciiTheme="minorHAnsi" w:hAnsiTheme="minorHAnsi"/>
            <w:noProof/>
            <w:webHidden/>
          </w:rPr>
          <w:t>14</w:t>
        </w:r>
        <w:r w:rsidRPr="00A13E2B">
          <w:rPr>
            <w:rFonts w:asciiTheme="minorHAnsi" w:hAnsiTheme="minorHAnsi"/>
            <w:noProof/>
            <w:webHidden/>
          </w:rPr>
          <w:fldChar w:fldCharType="end"/>
        </w:r>
      </w:hyperlink>
    </w:p>
    <w:p w:rsidR="002D2845" w:rsidRPr="00A13E2B" w:rsidRDefault="00841E3B" w:rsidP="002D2845">
      <w:pPr>
        <w:pStyle w:val="Sumrio1"/>
        <w:tabs>
          <w:tab w:val="left" w:pos="660"/>
          <w:tab w:val="right" w:leader="dot" w:pos="8495"/>
        </w:tabs>
        <w:spacing w:line="360" w:lineRule="auto"/>
        <w:rPr>
          <w:rFonts w:asciiTheme="minorHAnsi" w:eastAsiaTheme="minorEastAsia" w:hAnsiTheme="minorHAnsi" w:cstheme="minorBidi"/>
          <w:noProof/>
          <w:sz w:val="22"/>
          <w:szCs w:val="22"/>
          <w:lang w:eastAsia="pt-BR"/>
        </w:rPr>
      </w:pPr>
      <w:hyperlink w:anchor="_Toc404173781" w:history="1">
        <w:r w:rsidR="002D2845" w:rsidRPr="00A13E2B">
          <w:rPr>
            <w:rStyle w:val="Hyperlink"/>
            <w:rFonts w:asciiTheme="minorHAnsi" w:hAnsiTheme="minorHAnsi" w:cs="Arial"/>
            <w:noProof/>
          </w:rPr>
          <w:t>11.</w:t>
        </w:r>
        <w:r w:rsidR="002D2845" w:rsidRPr="00A13E2B">
          <w:rPr>
            <w:rFonts w:asciiTheme="minorHAnsi" w:eastAsiaTheme="minorEastAsia" w:hAnsiTheme="minorHAnsi" w:cstheme="minorBidi"/>
            <w:noProof/>
            <w:sz w:val="22"/>
            <w:szCs w:val="22"/>
            <w:lang w:eastAsia="pt-BR"/>
          </w:rPr>
          <w:tab/>
        </w:r>
        <w:r w:rsidR="002D2845" w:rsidRPr="00A13E2B">
          <w:rPr>
            <w:rStyle w:val="Hyperlink"/>
            <w:rFonts w:asciiTheme="minorHAnsi" w:hAnsiTheme="minorHAnsi" w:cs="Arial"/>
            <w:noProof/>
          </w:rPr>
          <w:t>ALOCAÇÃO-OBJETIVO</w:t>
        </w:r>
        <w:r w:rsidR="002D2845" w:rsidRPr="00A13E2B">
          <w:rPr>
            <w:rFonts w:asciiTheme="minorHAnsi" w:hAnsiTheme="minorHAnsi"/>
            <w:noProof/>
            <w:webHidden/>
          </w:rPr>
          <w:tab/>
        </w:r>
        <w:r w:rsidRPr="00A13E2B">
          <w:rPr>
            <w:rFonts w:asciiTheme="minorHAnsi" w:hAnsiTheme="minorHAnsi"/>
            <w:noProof/>
            <w:webHidden/>
          </w:rPr>
          <w:fldChar w:fldCharType="begin"/>
        </w:r>
        <w:r w:rsidR="002D2845" w:rsidRPr="00A13E2B">
          <w:rPr>
            <w:rFonts w:asciiTheme="minorHAnsi" w:hAnsiTheme="minorHAnsi"/>
            <w:noProof/>
            <w:webHidden/>
          </w:rPr>
          <w:instrText xml:space="preserve"> PAGEREF _Toc404173781 \h </w:instrText>
        </w:r>
        <w:r w:rsidRPr="00A13E2B">
          <w:rPr>
            <w:rFonts w:asciiTheme="minorHAnsi" w:hAnsiTheme="minorHAnsi"/>
            <w:noProof/>
            <w:webHidden/>
          </w:rPr>
        </w:r>
        <w:r w:rsidRPr="00A13E2B">
          <w:rPr>
            <w:rFonts w:asciiTheme="minorHAnsi" w:hAnsiTheme="minorHAnsi"/>
            <w:noProof/>
            <w:webHidden/>
          </w:rPr>
          <w:fldChar w:fldCharType="separate"/>
        </w:r>
        <w:r w:rsidR="007A4697">
          <w:rPr>
            <w:rFonts w:asciiTheme="minorHAnsi" w:hAnsiTheme="minorHAnsi"/>
            <w:noProof/>
            <w:webHidden/>
          </w:rPr>
          <w:t>16</w:t>
        </w:r>
        <w:r w:rsidRPr="00A13E2B">
          <w:rPr>
            <w:rFonts w:asciiTheme="minorHAnsi" w:hAnsiTheme="minorHAnsi"/>
            <w:noProof/>
            <w:webHidden/>
          </w:rPr>
          <w:fldChar w:fldCharType="end"/>
        </w:r>
      </w:hyperlink>
    </w:p>
    <w:p w:rsidR="002D2845" w:rsidRPr="00A13E2B" w:rsidRDefault="00841E3B" w:rsidP="002D2845">
      <w:pPr>
        <w:pStyle w:val="Sumrio1"/>
        <w:tabs>
          <w:tab w:val="left" w:pos="660"/>
          <w:tab w:val="right" w:leader="dot" w:pos="8495"/>
        </w:tabs>
        <w:spacing w:line="360" w:lineRule="auto"/>
        <w:rPr>
          <w:rFonts w:asciiTheme="minorHAnsi" w:eastAsiaTheme="minorEastAsia" w:hAnsiTheme="minorHAnsi" w:cstheme="minorBidi"/>
          <w:noProof/>
          <w:sz w:val="22"/>
          <w:szCs w:val="22"/>
          <w:lang w:eastAsia="pt-BR"/>
        </w:rPr>
      </w:pPr>
      <w:hyperlink w:anchor="_Toc404173782" w:history="1">
        <w:r w:rsidR="002D2845" w:rsidRPr="00A13E2B">
          <w:rPr>
            <w:rStyle w:val="Hyperlink"/>
            <w:rFonts w:asciiTheme="minorHAnsi" w:hAnsiTheme="minorHAnsi" w:cs="Arial"/>
            <w:noProof/>
          </w:rPr>
          <w:t>12.</w:t>
        </w:r>
        <w:r w:rsidR="002D2845" w:rsidRPr="00A13E2B">
          <w:rPr>
            <w:rFonts w:asciiTheme="minorHAnsi" w:eastAsiaTheme="minorEastAsia" w:hAnsiTheme="minorHAnsi" w:cstheme="minorBidi"/>
            <w:noProof/>
            <w:sz w:val="22"/>
            <w:szCs w:val="22"/>
            <w:lang w:eastAsia="pt-BR"/>
          </w:rPr>
          <w:tab/>
        </w:r>
        <w:r w:rsidR="002D2845" w:rsidRPr="00A13E2B">
          <w:rPr>
            <w:rStyle w:val="Hyperlink"/>
            <w:rFonts w:asciiTheme="minorHAnsi" w:hAnsiTheme="minorHAnsi" w:cs="Arial"/>
            <w:noProof/>
          </w:rPr>
          <w:t>PRECIFICAÇÃO E MARCAÇÃO DOS ATIVOS</w:t>
        </w:r>
        <w:r w:rsidR="002D2845" w:rsidRPr="00A13E2B">
          <w:rPr>
            <w:rFonts w:asciiTheme="minorHAnsi" w:hAnsiTheme="minorHAnsi"/>
            <w:noProof/>
            <w:webHidden/>
          </w:rPr>
          <w:tab/>
        </w:r>
        <w:r w:rsidRPr="00A13E2B">
          <w:rPr>
            <w:rFonts w:asciiTheme="minorHAnsi" w:hAnsiTheme="minorHAnsi"/>
            <w:noProof/>
            <w:webHidden/>
          </w:rPr>
          <w:fldChar w:fldCharType="begin"/>
        </w:r>
        <w:r w:rsidR="002D2845" w:rsidRPr="00A13E2B">
          <w:rPr>
            <w:rFonts w:asciiTheme="minorHAnsi" w:hAnsiTheme="minorHAnsi"/>
            <w:noProof/>
            <w:webHidden/>
          </w:rPr>
          <w:instrText xml:space="preserve"> PAGEREF _Toc404173782 \h </w:instrText>
        </w:r>
        <w:r w:rsidRPr="00A13E2B">
          <w:rPr>
            <w:rFonts w:asciiTheme="minorHAnsi" w:hAnsiTheme="minorHAnsi"/>
            <w:noProof/>
            <w:webHidden/>
          </w:rPr>
        </w:r>
        <w:r w:rsidRPr="00A13E2B">
          <w:rPr>
            <w:rFonts w:asciiTheme="minorHAnsi" w:hAnsiTheme="minorHAnsi"/>
            <w:noProof/>
            <w:webHidden/>
          </w:rPr>
          <w:fldChar w:fldCharType="separate"/>
        </w:r>
        <w:r w:rsidR="007A4697">
          <w:rPr>
            <w:rFonts w:asciiTheme="minorHAnsi" w:hAnsiTheme="minorHAnsi"/>
            <w:noProof/>
            <w:webHidden/>
          </w:rPr>
          <w:t>18</w:t>
        </w:r>
        <w:r w:rsidRPr="00A13E2B">
          <w:rPr>
            <w:rFonts w:asciiTheme="minorHAnsi" w:hAnsiTheme="minorHAnsi"/>
            <w:noProof/>
            <w:webHidden/>
          </w:rPr>
          <w:fldChar w:fldCharType="end"/>
        </w:r>
      </w:hyperlink>
    </w:p>
    <w:p w:rsidR="002D2845" w:rsidRPr="00A13E2B" w:rsidRDefault="00841E3B" w:rsidP="002D2845">
      <w:pPr>
        <w:pStyle w:val="Sumrio1"/>
        <w:tabs>
          <w:tab w:val="left" w:pos="660"/>
          <w:tab w:val="right" w:leader="dot" w:pos="8495"/>
        </w:tabs>
        <w:spacing w:line="360" w:lineRule="auto"/>
        <w:rPr>
          <w:rFonts w:asciiTheme="minorHAnsi" w:eastAsiaTheme="minorEastAsia" w:hAnsiTheme="minorHAnsi" w:cstheme="minorBidi"/>
          <w:noProof/>
          <w:sz w:val="22"/>
          <w:szCs w:val="22"/>
          <w:lang w:eastAsia="pt-BR"/>
        </w:rPr>
      </w:pPr>
      <w:hyperlink w:anchor="_Toc404173783" w:history="1">
        <w:r w:rsidR="002D2845" w:rsidRPr="00A13E2B">
          <w:rPr>
            <w:rStyle w:val="Hyperlink"/>
            <w:rFonts w:asciiTheme="minorHAnsi" w:hAnsiTheme="minorHAnsi" w:cs="Arial"/>
            <w:noProof/>
          </w:rPr>
          <w:t>13.</w:t>
        </w:r>
        <w:r w:rsidR="002D2845" w:rsidRPr="00A13E2B">
          <w:rPr>
            <w:rFonts w:asciiTheme="minorHAnsi" w:eastAsiaTheme="minorEastAsia" w:hAnsiTheme="minorHAnsi" w:cstheme="minorBidi"/>
            <w:noProof/>
            <w:sz w:val="22"/>
            <w:szCs w:val="22"/>
            <w:lang w:eastAsia="pt-BR"/>
          </w:rPr>
          <w:tab/>
        </w:r>
        <w:r w:rsidR="002D2845" w:rsidRPr="00A13E2B">
          <w:rPr>
            <w:rStyle w:val="Hyperlink"/>
            <w:rFonts w:asciiTheme="minorHAnsi" w:hAnsiTheme="minorHAnsi" w:cs="Arial"/>
            <w:noProof/>
          </w:rPr>
          <w:t>CLASSIFICAÇÃO E CONTROLE DOS RISCOS DE GESTÃO</w:t>
        </w:r>
        <w:r w:rsidR="002D2845" w:rsidRPr="00A13E2B">
          <w:rPr>
            <w:rFonts w:asciiTheme="minorHAnsi" w:hAnsiTheme="minorHAnsi"/>
            <w:noProof/>
            <w:webHidden/>
          </w:rPr>
          <w:tab/>
        </w:r>
        <w:r w:rsidRPr="00A13E2B">
          <w:rPr>
            <w:rFonts w:asciiTheme="minorHAnsi" w:hAnsiTheme="minorHAnsi"/>
            <w:noProof/>
            <w:webHidden/>
          </w:rPr>
          <w:fldChar w:fldCharType="begin"/>
        </w:r>
        <w:r w:rsidR="002D2845" w:rsidRPr="00A13E2B">
          <w:rPr>
            <w:rFonts w:asciiTheme="minorHAnsi" w:hAnsiTheme="minorHAnsi"/>
            <w:noProof/>
            <w:webHidden/>
          </w:rPr>
          <w:instrText xml:space="preserve"> PAGEREF _Toc404173783 \h </w:instrText>
        </w:r>
        <w:r w:rsidRPr="00A13E2B">
          <w:rPr>
            <w:rFonts w:asciiTheme="minorHAnsi" w:hAnsiTheme="minorHAnsi"/>
            <w:noProof/>
            <w:webHidden/>
          </w:rPr>
        </w:r>
        <w:r w:rsidRPr="00A13E2B">
          <w:rPr>
            <w:rFonts w:asciiTheme="minorHAnsi" w:hAnsiTheme="minorHAnsi"/>
            <w:noProof/>
            <w:webHidden/>
          </w:rPr>
          <w:fldChar w:fldCharType="separate"/>
        </w:r>
        <w:r w:rsidR="007A4697">
          <w:rPr>
            <w:rFonts w:asciiTheme="minorHAnsi" w:hAnsiTheme="minorHAnsi"/>
            <w:noProof/>
            <w:webHidden/>
          </w:rPr>
          <w:t>18</w:t>
        </w:r>
        <w:r w:rsidRPr="00A13E2B">
          <w:rPr>
            <w:rFonts w:asciiTheme="minorHAnsi" w:hAnsiTheme="minorHAnsi"/>
            <w:noProof/>
            <w:webHidden/>
          </w:rPr>
          <w:fldChar w:fldCharType="end"/>
        </w:r>
      </w:hyperlink>
    </w:p>
    <w:p w:rsidR="002D2845" w:rsidRPr="00A13E2B" w:rsidRDefault="00841E3B" w:rsidP="002D2845">
      <w:pPr>
        <w:pStyle w:val="Sumrio1"/>
        <w:tabs>
          <w:tab w:val="left" w:pos="660"/>
          <w:tab w:val="right" w:leader="dot" w:pos="8495"/>
        </w:tabs>
        <w:spacing w:line="360" w:lineRule="auto"/>
        <w:rPr>
          <w:rFonts w:asciiTheme="minorHAnsi" w:eastAsiaTheme="minorEastAsia" w:hAnsiTheme="minorHAnsi" w:cstheme="minorBidi"/>
          <w:noProof/>
          <w:sz w:val="22"/>
          <w:szCs w:val="22"/>
          <w:lang w:eastAsia="pt-BR"/>
        </w:rPr>
      </w:pPr>
      <w:hyperlink w:anchor="_Toc404173784" w:history="1">
        <w:r w:rsidR="002D2845" w:rsidRPr="00A13E2B">
          <w:rPr>
            <w:rStyle w:val="Hyperlink"/>
            <w:rFonts w:asciiTheme="minorHAnsi" w:hAnsiTheme="minorHAnsi" w:cs="Arial"/>
            <w:noProof/>
          </w:rPr>
          <w:t>14.</w:t>
        </w:r>
        <w:r w:rsidR="002D2845" w:rsidRPr="00A13E2B">
          <w:rPr>
            <w:rFonts w:asciiTheme="minorHAnsi" w:eastAsiaTheme="minorEastAsia" w:hAnsiTheme="minorHAnsi" w:cstheme="minorBidi"/>
            <w:noProof/>
            <w:sz w:val="22"/>
            <w:szCs w:val="22"/>
            <w:lang w:eastAsia="pt-BR"/>
          </w:rPr>
          <w:tab/>
        </w:r>
        <w:r w:rsidR="002D2845" w:rsidRPr="00A13E2B">
          <w:rPr>
            <w:rStyle w:val="Hyperlink"/>
            <w:rFonts w:asciiTheme="minorHAnsi" w:hAnsiTheme="minorHAnsi" w:cs="Arial"/>
            <w:noProof/>
          </w:rPr>
          <w:t>CENÁRIO ECONÔMICO PARA O EXERCÍCIO DE 2014</w:t>
        </w:r>
        <w:r w:rsidR="002D2845" w:rsidRPr="00A13E2B">
          <w:rPr>
            <w:rFonts w:asciiTheme="minorHAnsi" w:hAnsiTheme="minorHAnsi"/>
            <w:noProof/>
            <w:webHidden/>
          </w:rPr>
          <w:tab/>
        </w:r>
        <w:r w:rsidRPr="00A13E2B">
          <w:rPr>
            <w:rFonts w:asciiTheme="minorHAnsi" w:hAnsiTheme="minorHAnsi"/>
            <w:noProof/>
            <w:webHidden/>
          </w:rPr>
          <w:fldChar w:fldCharType="begin"/>
        </w:r>
        <w:r w:rsidR="002D2845" w:rsidRPr="00A13E2B">
          <w:rPr>
            <w:rFonts w:asciiTheme="minorHAnsi" w:hAnsiTheme="minorHAnsi"/>
            <w:noProof/>
            <w:webHidden/>
          </w:rPr>
          <w:instrText xml:space="preserve"> PAGEREF _Toc404173784 \h </w:instrText>
        </w:r>
        <w:r w:rsidRPr="00A13E2B">
          <w:rPr>
            <w:rFonts w:asciiTheme="minorHAnsi" w:hAnsiTheme="minorHAnsi"/>
            <w:noProof/>
            <w:webHidden/>
          </w:rPr>
        </w:r>
        <w:r w:rsidRPr="00A13E2B">
          <w:rPr>
            <w:rFonts w:asciiTheme="minorHAnsi" w:hAnsiTheme="minorHAnsi"/>
            <w:noProof/>
            <w:webHidden/>
          </w:rPr>
          <w:fldChar w:fldCharType="separate"/>
        </w:r>
        <w:r w:rsidR="007A4697">
          <w:rPr>
            <w:rFonts w:asciiTheme="minorHAnsi" w:hAnsiTheme="minorHAnsi"/>
            <w:noProof/>
            <w:webHidden/>
          </w:rPr>
          <w:t>20</w:t>
        </w:r>
        <w:r w:rsidRPr="00A13E2B">
          <w:rPr>
            <w:rFonts w:asciiTheme="minorHAnsi" w:hAnsiTheme="minorHAnsi"/>
            <w:noProof/>
            <w:webHidden/>
          </w:rPr>
          <w:fldChar w:fldCharType="end"/>
        </w:r>
      </w:hyperlink>
    </w:p>
    <w:p w:rsidR="002D2845" w:rsidRPr="00A13E2B" w:rsidRDefault="00841E3B" w:rsidP="002D2845">
      <w:pPr>
        <w:pStyle w:val="Sumrio1"/>
        <w:tabs>
          <w:tab w:val="left" w:pos="660"/>
          <w:tab w:val="right" w:leader="dot" w:pos="8495"/>
        </w:tabs>
        <w:spacing w:line="360" w:lineRule="auto"/>
        <w:rPr>
          <w:rFonts w:asciiTheme="minorHAnsi" w:eastAsiaTheme="minorEastAsia" w:hAnsiTheme="minorHAnsi" w:cstheme="minorBidi"/>
          <w:noProof/>
          <w:sz w:val="22"/>
          <w:szCs w:val="22"/>
          <w:lang w:eastAsia="pt-BR"/>
        </w:rPr>
      </w:pPr>
      <w:hyperlink w:anchor="_Toc404173785" w:history="1">
        <w:r w:rsidR="002D2845" w:rsidRPr="00A13E2B">
          <w:rPr>
            <w:rStyle w:val="Hyperlink"/>
            <w:rFonts w:asciiTheme="minorHAnsi" w:hAnsiTheme="minorHAnsi" w:cs="Arial"/>
            <w:noProof/>
          </w:rPr>
          <w:t>15.</w:t>
        </w:r>
        <w:r w:rsidR="002D2845" w:rsidRPr="00A13E2B">
          <w:rPr>
            <w:rFonts w:asciiTheme="minorHAnsi" w:eastAsiaTheme="minorEastAsia" w:hAnsiTheme="minorHAnsi" w:cstheme="minorBidi"/>
            <w:noProof/>
            <w:sz w:val="22"/>
            <w:szCs w:val="22"/>
            <w:lang w:eastAsia="pt-BR"/>
          </w:rPr>
          <w:tab/>
        </w:r>
        <w:r w:rsidR="002D2845" w:rsidRPr="00A13E2B">
          <w:rPr>
            <w:rStyle w:val="Hyperlink"/>
            <w:rFonts w:asciiTheme="minorHAnsi" w:hAnsiTheme="minorHAnsi" w:cs="Arial"/>
            <w:noProof/>
          </w:rPr>
          <w:t>DISPOSIÇÕES GERAIS</w:t>
        </w:r>
        <w:r w:rsidR="002D2845" w:rsidRPr="00A13E2B">
          <w:rPr>
            <w:rFonts w:asciiTheme="minorHAnsi" w:hAnsiTheme="minorHAnsi"/>
            <w:noProof/>
            <w:webHidden/>
          </w:rPr>
          <w:tab/>
        </w:r>
        <w:r w:rsidRPr="00A13E2B">
          <w:rPr>
            <w:rFonts w:asciiTheme="minorHAnsi" w:hAnsiTheme="minorHAnsi"/>
            <w:noProof/>
            <w:webHidden/>
          </w:rPr>
          <w:fldChar w:fldCharType="begin"/>
        </w:r>
        <w:r w:rsidR="002D2845" w:rsidRPr="00A13E2B">
          <w:rPr>
            <w:rFonts w:asciiTheme="minorHAnsi" w:hAnsiTheme="minorHAnsi"/>
            <w:noProof/>
            <w:webHidden/>
          </w:rPr>
          <w:instrText xml:space="preserve"> PAGEREF _Toc404173785 \h </w:instrText>
        </w:r>
        <w:r w:rsidRPr="00A13E2B">
          <w:rPr>
            <w:rFonts w:asciiTheme="minorHAnsi" w:hAnsiTheme="minorHAnsi"/>
            <w:noProof/>
            <w:webHidden/>
          </w:rPr>
        </w:r>
        <w:r w:rsidRPr="00A13E2B">
          <w:rPr>
            <w:rFonts w:asciiTheme="minorHAnsi" w:hAnsiTheme="minorHAnsi"/>
            <w:noProof/>
            <w:webHidden/>
          </w:rPr>
          <w:fldChar w:fldCharType="separate"/>
        </w:r>
        <w:r w:rsidR="007A4697">
          <w:rPr>
            <w:rFonts w:asciiTheme="minorHAnsi" w:hAnsiTheme="minorHAnsi"/>
            <w:noProof/>
            <w:webHidden/>
          </w:rPr>
          <w:t>20</w:t>
        </w:r>
        <w:r w:rsidRPr="00A13E2B">
          <w:rPr>
            <w:rFonts w:asciiTheme="minorHAnsi" w:hAnsiTheme="minorHAnsi"/>
            <w:noProof/>
            <w:webHidden/>
          </w:rPr>
          <w:fldChar w:fldCharType="end"/>
        </w:r>
      </w:hyperlink>
    </w:p>
    <w:p w:rsidR="002D2845" w:rsidRPr="00A13E2B" w:rsidRDefault="00841E3B" w:rsidP="002D2845">
      <w:pPr>
        <w:pStyle w:val="Sumrio1"/>
        <w:tabs>
          <w:tab w:val="left" w:pos="660"/>
          <w:tab w:val="right" w:leader="dot" w:pos="8495"/>
        </w:tabs>
        <w:spacing w:line="360" w:lineRule="auto"/>
        <w:rPr>
          <w:rFonts w:asciiTheme="minorHAnsi" w:eastAsiaTheme="minorEastAsia" w:hAnsiTheme="minorHAnsi" w:cstheme="minorBidi"/>
          <w:noProof/>
          <w:sz w:val="22"/>
          <w:szCs w:val="22"/>
          <w:lang w:eastAsia="pt-BR"/>
        </w:rPr>
      </w:pPr>
      <w:hyperlink w:anchor="_Toc404173786" w:history="1">
        <w:r w:rsidR="002D2845" w:rsidRPr="00A13E2B">
          <w:rPr>
            <w:rStyle w:val="Hyperlink"/>
            <w:rFonts w:asciiTheme="minorHAnsi" w:hAnsiTheme="minorHAnsi" w:cs="Arial"/>
            <w:noProof/>
          </w:rPr>
          <w:t>16.</w:t>
        </w:r>
        <w:r w:rsidR="002D2845" w:rsidRPr="00A13E2B">
          <w:rPr>
            <w:rFonts w:asciiTheme="minorHAnsi" w:eastAsiaTheme="minorEastAsia" w:hAnsiTheme="minorHAnsi" w:cstheme="minorBidi"/>
            <w:noProof/>
            <w:sz w:val="22"/>
            <w:szCs w:val="22"/>
            <w:lang w:eastAsia="pt-BR"/>
          </w:rPr>
          <w:tab/>
        </w:r>
        <w:r w:rsidR="002D2845" w:rsidRPr="00A13E2B">
          <w:rPr>
            <w:rStyle w:val="Hyperlink"/>
            <w:rFonts w:asciiTheme="minorHAnsi" w:hAnsiTheme="minorHAnsi" w:cs="Arial"/>
            <w:noProof/>
          </w:rPr>
          <w:t>APROVAÇÃO DA POLÍTICA DE INVESTIMENTOS EXERCÍCIO DE 2015</w:t>
        </w:r>
        <w:r w:rsidR="002D2845" w:rsidRPr="00A13E2B">
          <w:rPr>
            <w:rFonts w:asciiTheme="minorHAnsi" w:hAnsiTheme="minorHAnsi"/>
            <w:noProof/>
            <w:webHidden/>
          </w:rPr>
          <w:tab/>
        </w:r>
        <w:r w:rsidRPr="00A13E2B">
          <w:rPr>
            <w:rFonts w:asciiTheme="minorHAnsi" w:hAnsiTheme="minorHAnsi"/>
            <w:noProof/>
            <w:webHidden/>
          </w:rPr>
          <w:fldChar w:fldCharType="begin"/>
        </w:r>
        <w:r w:rsidR="002D2845" w:rsidRPr="00A13E2B">
          <w:rPr>
            <w:rFonts w:asciiTheme="minorHAnsi" w:hAnsiTheme="minorHAnsi"/>
            <w:noProof/>
            <w:webHidden/>
          </w:rPr>
          <w:instrText xml:space="preserve"> PAGEREF _Toc404173786 \h </w:instrText>
        </w:r>
        <w:r w:rsidRPr="00A13E2B">
          <w:rPr>
            <w:rFonts w:asciiTheme="minorHAnsi" w:hAnsiTheme="minorHAnsi"/>
            <w:noProof/>
            <w:webHidden/>
          </w:rPr>
        </w:r>
        <w:r w:rsidRPr="00A13E2B">
          <w:rPr>
            <w:rFonts w:asciiTheme="minorHAnsi" w:hAnsiTheme="minorHAnsi"/>
            <w:noProof/>
            <w:webHidden/>
          </w:rPr>
          <w:fldChar w:fldCharType="separate"/>
        </w:r>
        <w:r w:rsidR="007A4697">
          <w:rPr>
            <w:rFonts w:asciiTheme="minorHAnsi" w:hAnsiTheme="minorHAnsi"/>
            <w:noProof/>
            <w:webHidden/>
          </w:rPr>
          <w:t>21</w:t>
        </w:r>
        <w:r w:rsidRPr="00A13E2B">
          <w:rPr>
            <w:rFonts w:asciiTheme="minorHAnsi" w:hAnsiTheme="minorHAnsi"/>
            <w:noProof/>
            <w:webHidden/>
          </w:rPr>
          <w:fldChar w:fldCharType="end"/>
        </w:r>
      </w:hyperlink>
    </w:p>
    <w:p w:rsidR="002D2845" w:rsidRPr="00A13E2B" w:rsidRDefault="00841E3B" w:rsidP="002D2845">
      <w:pPr>
        <w:pStyle w:val="Sumrio2"/>
        <w:tabs>
          <w:tab w:val="right" w:leader="dot" w:pos="8495"/>
        </w:tabs>
        <w:spacing w:line="360" w:lineRule="auto"/>
        <w:rPr>
          <w:rFonts w:asciiTheme="minorHAnsi" w:eastAsiaTheme="minorEastAsia" w:hAnsiTheme="minorHAnsi" w:cstheme="minorBidi"/>
          <w:noProof/>
          <w:sz w:val="22"/>
          <w:szCs w:val="22"/>
          <w:lang w:eastAsia="pt-BR"/>
        </w:rPr>
      </w:pPr>
      <w:hyperlink w:anchor="_Toc404173787" w:history="1">
        <w:r w:rsidR="002D2845" w:rsidRPr="00A13E2B">
          <w:rPr>
            <w:rStyle w:val="Hyperlink"/>
            <w:rFonts w:asciiTheme="minorHAnsi" w:hAnsiTheme="minorHAnsi"/>
            <w:noProof/>
          </w:rPr>
          <w:t>ANEXO I</w:t>
        </w:r>
        <w:r w:rsidR="002D2845" w:rsidRPr="00A13E2B">
          <w:rPr>
            <w:rFonts w:asciiTheme="minorHAnsi" w:hAnsiTheme="minorHAnsi"/>
            <w:noProof/>
            <w:webHidden/>
          </w:rPr>
          <w:tab/>
        </w:r>
        <w:r w:rsidRPr="00A13E2B">
          <w:rPr>
            <w:rFonts w:asciiTheme="minorHAnsi" w:hAnsiTheme="minorHAnsi"/>
            <w:noProof/>
            <w:webHidden/>
          </w:rPr>
          <w:fldChar w:fldCharType="begin"/>
        </w:r>
        <w:r w:rsidR="002D2845" w:rsidRPr="00A13E2B">
          <w:rPr>
            <w:rFonts w:asciiTheme="minorHAnsi" w:hAnsiTheme="minorHAnsi"/>
            <w:noProof/>
            <w:webHidden/>
          </w:rPr>
          <w:instrText xml:space="preserve"> PAGEREF _Toc404173787 \h </w:instrText>
        </w:r>
        <w:r w:rsidRPr="00A13E2B">
          <w:rPr>
            <w:rFonts w:asciiTheme="minorHAnsi" w:hAnsiTheme="minorHAnsi"/>
            <w:noProof/>
            <w:webHidden/>
          </w:rPr>
        </w:r>
        <w:r w:rsidRPr="00A13E2B">
          <w:rPr>
            <w:rFonts w:asciiTheme="minorHAnsi" w:hAnsiTheme="minorHAnsi"/>
            <w:noProof/>
            <w:webHidden/>
          </w:rPr>
          <w:fldChar w:fldCharType="separate"/>
        </w:r>
        <w:r w:rsidR="007A4697">
          <w:rPr>
            <w:rFonts w:asciiTheme="minorHAnsi" w:hAnsiTheme="minorHAnsi"/>
            <w:noProof/>
            <w:webHidden/>
          </w:rPr>
          <w:t>22</w:t>
        </w:r>
        <w:r w:rsidRPr="00A13E2B">
          <w:rPr>
            <w:rFonts w:asciiTheme="minorHAnsi" w:hAnsiTheme="minorHAnsi"/>
            <w:noProof/>
            <w:webHidden/>
          </w:rPr>
          <w:fldChar w:fldCharType="end"/>
        </w:r>
      </w:hyperlink>
    </w:p>
    <w:bookmarkEnd w:id="0"/>
    <w:p w:rsidR="002D2845" w:rsidRDefault="00841E3B" w:rsidP="002D2845">
      <w:r w:rsidRPr="001F2EA0">
        <w:rPr>
          <w:rFonts w:asciiTheme="minorHAnsi" w:hAnsiTheme="minorHAnsi" w:cs="Arial"/>
          <w:b/>
          <w:bCs/>
        </w:rPr>
        <w:fldChar w:fldCharType="end"/>
      </w:r>
    </w:p>
    <w:p w:rsidR="002D2845" w:rsidRDefault="002D2845"/>
    <w:p w:rsidR="002D2845" w:rsidRDefault="002D2845"/>
    <w:p w:rsidR="002D2845" w:rsidRDefault="002D2845"/>
    <w:p w:rsidR="002D2845" w:rsidRDefault="002D2845"/>
    <w:p w:rsidR="002D2845" w:rsidRDefault="002D2845"/>
    <w:p w:rsidR="002D2845" w:rsidRDefault="002D2845"/>
    <w:p w:rsidR="002D2845" w:rsidRDefault="002D2845"/>
    <w:p w:rsidR="002D2845" w:rsidRDefault="002D2845"/>
    <w:p w:rsidR="002D2845" w:rsidRDefault="002D2845"/>
    <w:p w:rsidR="002D2845" w:rsidRDefault="002D2845"/>
    <w:p w:rsidR="002D2845" w:rsidRDefault="002D2845"/>
    <w:p w:rsidR="002D2845" w:rsidRDefault="002D2845"/>
    <w:p w:rsidR="002D2845" w:rsidRDefault="002D2845"/>
    <w:p w:rsidR="002D2845" w:rsidRDefault="002D2845"/>
    <w:p w:rsidR="002D2845" w:rsidRDefault="002D2845"/>
    <w:p w:rsidR="002D2845" w:rsidRDefault="002D2845"/>
    <w:p w:rsidR="002D2845" w:rsidRPr="00A252CB" w:rsidRDefault="002D2845" w:rsidP="002D2845">
      <w:pPr>
        <w:pStyle w:val="Ttulo"/>
        <w:numPr>
          <w:ilvl w:val="0"/>
          <w:numId w:val="18"/>
        </w:numPr>
        <w:spacing w:before="120" w:after="120"/>
        <w:jc w:val="left"/>
        <w:rPr>
          <w:rFonts w:asciiTheme="minorHAnsi" w:hAnsiTheme="minorHAnsi" w:cs="Arial"/>
          <w:sz w:val="24"/>
          <w:szCs w:val="24"/>
        </w:rPr>
      </w:pPr>
      <w:bookmarkStart w:id="1" w:name="_Toc404173771"/>
      <w:r w:rsidRPr="00A252CB">
        <w:rPr>
          <w:rFonts w:asciiTheme="minorHAnsi" w:hAnsiTheme="minorHAnsi" w:cs="Arial"/>
          <w:sz w:val="24"/>
          <w:szCs w:val="24"/>
        </w:rPr>
        <w:lastRenderedPageBreak/>
        <w:t>INTRODUÇÃO</w:t>
      </w:r>
      <w:bookmarkEnd w:id="1"/>
    </w:p>
    <w:p w:rsidR="002D2845" w:rsidRPr="00A252CB" w:rsidRDefault="002D2845" w:rsidP="002D2845">
      <w:pPr>
        <w:spacing w:before="120" w:after="120"/>
        <w:jc w:val="both"/>
        <w:rPr>
          <w:rFonts w:asciiTheme="minorHAnsi" w:hAnsiTheme="minorHAnsi" w:cs="Arial"/>
        </w:rPr>
      </w:pPr>
      <w:r w:rsidRPr="00A252CB">
        <w:rPr>
          <w:rFonts w:asciiTheme="minorHAnsi" w:hAnsiTheme="minorHAnsi" w:cs="Arial"/>
        </w:rPr>
        <w:t>Consoante o artigo 4º da Resolução 3.922, de 25 de novembro de 2010, emanada do Conselho Monetário Nacional, é dever dos responsáveis pela gestão do RPPS, antes do exercício a que se referira definição da Política Anual de Investimentos dos recursos. Nela, devem ser</w:t>
      </w:r>
      <w:r>
        <w:rPr>
          <w:rFonts w:asciiTheme="minorHAnsi" w:hAnsiTheme="minorHAnsi" w:cs="Arial"/>
        </w:rPr>
        <w:t xml:space="preserve"> </w:t>
      </w:r>
      <w:r w:rsidRPr="00A252CB">
        <w:rPr>
          <w:rFonts w:asciiTheme="minorHAnsi" w:hAnsiTheme="minorHAnsi" w:cs="Arial"/>
        </w:rPr>
        <w:t>acima de tudo contemplados:</w:t>
      </w:r>
      <w:r>
        <w:rPr>
          <w:rFonts w:asciiTheme="minorHAnsi" w:hAnsiTheme="minorHAnsi" w:cs="Arial"/>
        </w:rPr>
        <w:t xml:space="preserve"> </w:t>
      </w:r>
      <w:r w:rsidRPr="00A252CB">
        <w:rPr>
          <w:rFonts w:asciiTheme="minorHAnsi" w:hAnsiTheme="minorHAnsi" w:cs="Arial"/>
        </w:rPr>
        <w:t>a meta atuarial e modelo de gestão adotada para o exercício, a alocação objetiva dos recursos entre os diversos segmentos de aplicação e as respectivas carteiras de investimentos caracterizados como estratégico e tático, os parâmetros de rentabilidade, desempenho e risco para a composição e estruturação da carteira de investimentos, além dos limites utilizados para investimentos em títulos e valores mobiliários de emissão coobrigação de uma mesma pessoa jurídica.</w:t>
      </w:r>
    </w:p>
    <w:p w:rsidR="002D2845" w:rsidRPr="00A252CB" w:rsidRDefault="002D2845" w:rsidP="002D2845">
      <w:pPr>
        <w:spacing w:before="120" w:after="120"/>
        <w:jc w:val="both"/>
        <w:rPr>
          <w:rFonts w:asciiTheme="minorHAnsi" w:hAnsiTheme="minorHAnsi" w:cs="Arial"/>
        </w:rPr>
      </w:pPr>
      <w:r w:rsidRPr="00A252CB">
        <w:rPr>
          <w:rFonts w:asciiTheme="minorHAnsi" w:hAnsiTheme="minorHAnsi" w:cs="Arial"/>
        </w:rPr>
        <w:t xml:space="preserve">No âmbito da citada </w:t>
      </w:r>
      <w:proofErr w:type="gramStart"/>
      <w:r w:rsidRPr="00A252CB">
        <w:rPr>
          <w:rFonts w:asciiTheme="minorHAnsi" w:hAnsiTheme="minorHAnsi" w:cs="Arial"/>
        </w:rPr>
        <w:t>Resolução</w:t>
      </w:r>
      <w:r>
        <w:rPr>
          <w:rFonts w:asciiTheme="minorHAnsi" w:hAnsiTheme="minorHAnsi" w:cs="Arial"/>
        </w:rPr>
        <w:t>,</w:t>
      </w:r>
      <w:r w:rsidRPr="00A252CB">
        <w:rPr>
          <w:rFonts w:asciiTheme="minorHAnsi" w:hAnsiTheme="minorHAnsi" w:cs="Arial"/>
        </w:rPr>
        <w:t xml:space="preserve"> são</w:t>
      </w:r>
      <w:proofErr w:type="gramEnd"/>
      <w:r w:rsidRPr="00A252CB">
        <w:rPr>
          <w:rFonts w:asciiTheme="minorHAnsi" w:hAnsiTheme="minorHAnsi" w:cs="Arial"/>
        </w:rPr>
        <w:t xml:space="preserve"> considerados</w:t>
      </w:r>
      <w:r>
        <w:rPr>
          <w:rFonts w:asciiTheme="minorHAnsi" w:hAnsiTheme="minorHAnsi" w:cs="Arial"/>
        </w:rPr>
        <w:t xml:space="preserve"> </w:t>
      </w:r>
      <w:r w:rsidRPr="00A252CB">
        <w:rPr>
          <w:rFonts w:asciiTheme="minorHAnsi" w:hAnsiTheme="minorHAnsi" w:cs="Arial"/>
        </w:rPr>
        <w:t>recursos, as disponibilidades oriundas das receitas correntes e de capital, os demais ingressos auferidos pelo RPPS, as aplicações financeiras, os títulos e valores mobiliários, os ativos vinculados por lei e demais bens, direitos e ativos com finalidade previdenciária do RPPS.</w:t>
      </w:r>
    </w:p>
    <w:p w:rsidR="002D2845" w:rsidRPr="003D4F7F" w:rsidRDefault="002D2845" w:rsidP="002D2845">
      <w:pPr>
        <w:spacing w:before="120" w:after="120"/>
        <w:jc w:val="both"/>
        <w:rPr>
          <w:rFonts w:asciiTheme="minorHAnsi" w:hAnsiTheme="minorHAnsi" w:cs="Arial"/>
        </w:rPr>
      </w:pPr>
      <w:r w:rsidRPr="00A252CB">
        <w:rPr>
          <w:rFonts w:asciiTheme="minorHAnsi" w:hAnsiTheme="minorHAnsi" w:cs="Arial"/>
        </w:rPr>
        <w:t xml:space="preserve">Já o artigo 5º, reza que para que possa vigorar, a mencionada política deve ser previamente aprovada pelo órgão superior </w:t>
      </w:r>
      <w:r w:rsidRPr="003D4F7F">
        <w:rPr>
          <w:rFonts w:asciiTheme="minorHAnsi" w:hAnsiTheme="minorHAnsi" w:cs="Arial"/>
        </w:rPr>
        <w:t>competente.</w:t>
      </w:r>
    </w:p>
    <w:p w:rsidR="002D2845" w:rsidRPr="003D4F7F" w:rsidRDefault="002D2845" w:rsidP="002D2845">
      <w:pPr>
        <w:spacing w:before="120" w:after="120"/>
        <w:jc w:val="both"/>
        <w:rPr>
          <w:rFonts w:asciiTheme="minorHAnsi" w:hAnsiTheme="minorHAnsi" w:cs="Arial"/>
        </w:rPr>
      </w:pPr>
      <w:r w:rsidRPr="003D4F7F">
        <w:rPr>
          <w:rFonts w:asciiTheme="minorHAnsi" w:hAnsiTheme="minorHAnsi" w:cs="Arial"/>
        </w:rPr>
        <w:t>Portanto, esta Política de Investimentos descreve,</w:t>
      </w:r>
      <w:r>
        <w:rPr>
          <w:rFonts w:asciiTheme="minorHAnsi" w:hAnsiTheme="minorHAnsi" w:cs="Arial"/>
        </w:rPr>
        <w:t xml:space="preserve"> </w:t>
      </w:r>
      <w:r w:rsidRPr="003D4F7F">
        <w:rPr>
          <w:rFonts w:asciiTheme="minorHAnsi" w:hAnsiTheme="minorHAnsi" w:cs="Arial"/>
        </w:rPr>
        <w:t xml:space="preserve">em linhas </w:t>
      </w:r>
      <w:proofErr w:type="gramStart"/>
      <w:r w:rsidRPr="003D4F7F">
        <w:rPr>
          <w:rFonts w:asciiTheme="minorHAnsi" w:hAnsiTheme="minorHAnsi" w:cs="Arial"/>
        </w:rPr>
        <w:t>gerais,</w:t>
      </w:r>
      <w:proofErr w:type="gramEnd"/>
      <w:r w:rsidRPr="003D4F7F">
        <w:rPr>
          <w:rFonts w:asciiTheme="minorHAnsi" w:hAnsiTheme="minorHAnsi" w:cs="Arial"/>
        </w:rPr>
        <w:t>a filosofia e as práticas que norteiam a gestão dos ativos do Colombo Previdência</w:t>
      </w:r>
      <w:r>
        <w:rPr>
          <w:rFonts w:asciiTheme="minorHAnsi" w:hAnsiTheme="minorHAnsi" w:cs="Arial"/>
        </w:rPr>
        <w:t xml:space="preserve"> </w:t>
      </w:r>
      <w:r w:rsidRPr="003D4F7F">
        <w:rPr>
          <w:rFonts w:asciiTheme="minorHAnsi" w:hAnsiTheme="minorHAnsi" w:cs="Arial"/>
        </w:rPr>
        <w:t>e tem como pilar básico a legislação a ela aplicada.</w:t>
      </w:r>
    </w:p>
    <w:p w:rsidR="002D2845" w:rsidRPr="003D4F7F" w:rsidRDefault="002D2845" w:rsidP="002D2845">
      <w:pPr>
        <w:spacing w:before="120" w:after="120"/>
        <w:jc w:val="both"/>
        <w:rPr>
          <w:rFonts w:asciiTheme="minorHAnsi" w:hAnsiTheme="minorHAnsi" w:cs="Arial"/>
        </w:rPr>
      </w:pPr>
    </w:p>
    <w:p w:rsidR="002D2845" w:rsidRPr="003D4F7F" w:rsidRDefault="002D2845" w:rsidP="002D2845">
      <w:pPr>
        <w:pStyle w:val="Ttulo"/>
        <w:numPr>
          <w:ilvl w:val="0"/>
          <w:numId w:val="18"/>
        </w:numPr>
        <w:spacing w:before="120" w:after="120"/>
        <w:jc w:val="left"/>
        <w:rPr>
          <w:rFonts w:asciiTheme="minorHAnsi" w:hAnsiTheme="minorHAnsi" w:cs="Arial"/>
          <w:sz w:val="24"/>
          <w:szCs w:val="24"/>
        </w:rPr>
      </w:pPr>
      <w:bookmarkStart w:id="2" w:name="_Toc219780908"/>
      <w:bookmarkStart w:id="3" w:name="_Toc280352473"/>
      <w:bookmarkStart w:id="4" w:name="_Toc404173772"/>
      <w:r w:rsidRPr="003D4F7F">
        <w:rPr>
          <w:rFonts w:asciiTheme="minorHAnsi" w:hAnsiTheme="minorHAnsi" w:cs="Arial"/>
          <w:sz w:val="24"/>
          <w:szCs w:val="24"/>
        </w:rPr>
        <w:t>OBJETIVOS</w:t>
      </w:r>
      <w:bookmarkEnd w:id="2"/>
      <w:bookmarkEnd w:id="3"/>
      <w:bookmarkEnd w:id="4"/>
    </w:p>
    <w:p w:rsidR="002D2845" w:rsidRPr="003D4F7F" w:rsidRDefault="002D2845" w:rsidP="002D2845">
      <w:pPr>
        <w:spacing w:before="120" w:after="120"/>
        <w:jc w:val="both"/>
        <w:rPr>
          <w:rFonts w:asciiTheme="minorHAnsi" w:hAnsiTheme="minorHAnsi" w:cs="Arial"/>
          <w:b/>
          <w:bCs/>
        </w:rPr>
      </w:pPr>
      <w:r w:rsidRPr="003D4F7F">
        <w:rPr>
          <w:rFonts w:asciiTheme="minorHAnsi" w:hAnsiTheme="minorHAnsi" w:cs="Arial"/>
        </w:rPr>
        <w:t>O principal objetivo da Política de Investimentos do Colombo Previdência</w:t>
      </w:r>
      <w:r>
        <w:rPr>
          <w:rFonts w:asciiTheme="minorHAnsi" w:hAnsiTheme="minorHAnsi" w:cs="Arial"/>
        </w:rPr>
        <w:t xml:space="preserve"> </w:t>
      </w:r>
      <w:r w:rsidRPr="003D4F7F">
        <w:rPr>
          <w:rFonts w:asciiTheme="minorHAnsi" w:hAnsiTheme="minorHAnsi" w:cs="Arial"/>
        </w:rPr>
        <w:t>é o de ilustrar, em linhas gerais, as diretrizes relativas à gestão de suas</w:t>
      </w:r>
      <w:r>
        <w:rPr>
          <w:rFonts w:asciiTheme="minorHAnsi" w:hAnsiTheme="minorHAnsi" w:cs="Arial"/>
        </w:rPr>
        <w:t xml:space="preserve"> </w:t>
      </w:r>
      <w:r w:rsidRPr="003D4F7F">
        <w:rPr>
          <w:rFonts w:asciiTheme="minorHAnsi" w:hAnsiTheme="minorHAnsi" w:cs="Arial"/>
        </w:rPr>
        <w:t>finanças, de forma que ao atingir e se possível superar a meta atuarial definida para o seu equilíbrio econômico e financeiro ao longo do tempo, possa garantir o efetivo pagamento dos seus segurados e pensionistas.</w:t>
      </w:r>
    </w:p>
    <w:p w:rsidR="002D2845" w:rsidRPr="00A252CB" w:rsidRDefault="002D2845" w:rsidP="002D2845">
      <w:pPr>
        <w:spacing w:before="120" w:after="120"/>
        <w:jc w:val="both"/>
        <w:rPr>
          <w:rFonts w:asciiTheme="minorHAnsi" w:hAnsiTheme="minorHAnsi" w:cs="Arial"/>
          <w:b/>
          <w:bCs/>
        </w:rPr>
      </w:pPr>
      <w:r w:rsidRPr="003D4F7F">
        <w:rPr>
          <w:rFonts w:asciiTheme="minorHAnsi" w:hAnsiTheme="minorHAnsi" w:cs="Arial"/>
        </w:rPr>
        <w:t>Procura-se através deste documento assegurar o claro entendimento não só dos gestores, segurados e</w:t>
      </w:r>
      <w:r>
        <w:rPr>
          <w:rFonts w:asciiTheme="minorHAnsi" w:hAnsiTheme="minorHAnsi" w:cs="Arial"/>
        </w:rPr>
        <w:t xml:space="preserve"> </w:t>
      </w:r>
      <w:r w:rsidRPr="003D4F7F">
        <w:rPr>
          <w:rFonts w:asciiTheme="minorHAnsi" w:hAnsiTheme="minorHAnsi" w:cs="Arial"/>
        </w:rPr>
        <w:t>pensionistas, como também dos provedores externos de serviços, além dos órgãos reguladores, dos objetivos e restrições quanto</w:t>
      </w:r>
      <w:r w:rsidRPr="00A252CB">
        <w:rPr>
          <w:rFonts w:asciiTheme="minorHAnsi" w:hAnsiTheme="minorHAnsi" w:cs="Arial"/>
        </w:rPr>
        <w:t xml:space="preserve"> aos investimentos e desinvestimentos do RPPS.</w:t>
      </w:r>
    </w:p>
    <w:p w:rsidR="002D2845" w:rsidRPr="00A252CB" w:rsidRDefault="002D2845" w:rsidP="002D2845">
      <w:pPr>
        <w:spacing w:before="120" w:after="120"/>
        <w:jc w:val="both"/>
        <w:rPr>
          <w:rFonts w:asciiTheme="minorHAnsi" w:hAnsiTheme="minorHAnsi" w:cs="Arial"/>
        </w:rPr>
      </w:pPr>
      <w:r w:rsidRPr="00A252CB">
        <w:rPr>
          <w:rFonts w:asciiTheme="minorHAnsi" w:hAnsiTheme="minorHAnsi" w:cs="Arial"/>
        </w:rPr>
        <w:t>Objetiva-se também com a Política de Investimentos, observados os fatores de risco, liquidez, segurança, rentabilidade e transparência, o estabelecimento de critérios objetivos e racionais na avaliação das classes de ativos, dos</w:t>
      </w:r>
      <w:r>
        <w:rPr>
          <w:rFonts w:asciiTheme="minorHAnsi" w:hAnsiTheme="minorHAnsi" w:cs="Arial"/>
        </w:rPr>
        <w:t xml:space="preserve"> </w:t>
      </w:r>
      <w:r w:rsidRPr="00A252CB">
        <w:rPr>
          <w:rFonts w:asciiTheme="minorHAnsi" w:hAnsiTheme="minorHAnsi" w:cs="Arial"/>
        </w:rPr>
        <w:t>administradores, gestores e custodiantes de carteiras de títulos públicos e de fundos de investimento, além das estratégias empregadas de modo a diversificar a carteira,</w:t>
      </w:r>
      <w:r>
        <w:rPr>
          <w:rFonts w:asciiTheme="minorHAnsi" w:hAnsiTheme="minorHAnsi" w:cs="Arial"/>
        </w:rPr>
        <w:t xml:space="preserve"> </w:t>
      </w:r>
      <w:r w:rsidRPr="00A252CB">
        <w:rPr>
          <w:rFonts w:asciiTheme="minorHAnsi" w:hAnsiTheme="minorHAnsi" w:cs="Arial"/>
        </w:rPr>
        <w:t>como forma de redução dos</w:t>
      </w:r>
      <w:r>
        <w:rPr>
          <w:rFonts w:asciiTheme="minorHAnsi" w:hAnsiTheme="minorHAnsi" w:cs="Arial"/>
        </w:rPr>
        <w:t xml:space="preserve"> </w:t>
      </w:r>
      <w:r w:rsidRPr="00A252CB">
        <w:rPr>
          <w:rFonts w:asciiTheme="minorHAnsi" w:hAnsiTheme="minorHAnsi" w:cs="Arial"/>
        </w:rPr>
        <w:t>riscos.</w:t>
      </w:r>
    </w:p>
    <w:p w:rsidR="002D2845" w:rsidRPr="00A252CB" w:rsidRDefault="002D2845" w:rsidP="002D2845">
      <w:pPr>
        <w:spacing w:before="120" w:after="120"/>
        <w:jc w:val="both"/>
        <w:rPr>
          <w:rFonts w:asciiTheme="minorHAnsi" w:hAnsiTheme="minorHAnsi" w:cs="Arial"/>
          <w:b/>
          <w:bCs/>
        </w:rPr>
      </w:pPr>
      <w:r w:rsidRPr="00A252CB">
        <w:rPr>
          <w:rFonts w:asciiTheme="minorHAnsi" w:hAnsiTheme="minorHAnsi" w:cs="Arial"/>
        </w:rPr>
        <w:t>A Política de Investimentos elaborada e aprovada para o exercício</w:t>
      </w:r>
      <w:proofErr w:type="gramStart"/>
      <w:r w:rsidRPr="00A252CB">
        <w:rPr>
          <w:rFonts w:asciiTheme="minorHAnsi" w:hAnsiTheme="minorHAnsi" w:cs="Arial"/>
        </w:rPr>
        <w:t>, tem</w:t>
      </w:r>
      <w:proofErr w:type="gramEnd"/>
      <w:r w:rsidRPr="00A252CB">
        <w:rPr>
          <w:rFonts w:asciiTheme="minorHAnsi" w:hAnsiTheme="minorHAnsi" w:cs="Arial"/>
        </w:rPr>
        <w:t xml:space="preserve"> como possibilidade a sua revisão e possíveis alterações, caso está seja de comum acordo de todos os interessados.</w:t>
      </w:r>
    </w:p>
    <w:p w:rsidR="002D2845" w:rsidRPr="00A252CB" w:rsidRDefault="002D2845" w:rsidP="002D2845">
      <w:pPr>
        <w:spacing w:before="120" w:after="120"/>
        <w:jc w:val="both"/>
        <w:rPr>
          <w:rFonts w:asciiTheme="minorHAnsi" w:hAnsiTheme="minorHAnsi" w:cs="Arial"/>
          <w:b/>
          <w:bCs/>
        </w:rPr>
      </w:pPr>
      <w:r w:rsidRPr="00A252CB">
        <w:rPr>
          <w:rFonts w:asciiTheme="minorHAnsi" w:hAnsiTheme="minorHAnsi" w:cs="Arial"/>
        </w:rPr>
        <w:t>Portanto, por meio deste instrumento definem-se os critérios, procedimentos e limites estabelecidos para a aplicação e desinvestimento dos ativos financeiros, levando-se em consideração:</w:t>
      </w:r>
    </w:p>
    <w:p w:rsidR="002D2845" w:rsidRPr="00A252CB" w:rsidRDefault="002D2845" w:rsidP="002D2845">
      <w:pPr>
        <w:numPr>
          <w:ilvl w:val="0"/>
          <w:numId w:val="1"/>
        </w:numPr>
        <w:spacing w:before="120" w:after="120"/>
        <w:jc w:val="both"/>
        <w:rPr>
          <w:rFonts w:asciiTheme="minorHAnsi" w:hAnsiTheme="minorHAnsi" w:cs="Arial"/>
          <w:b/>
          <w:bCs/>
        </w:rPr>
      </w:pPr>
      <w:r w:rsidRPr="00A252CB">
        <w:rPr>
          <w:rFonts w:asciiTheme="minorHAnsi" w:hAnsiTheme="minorHAnsi" w:cs="Arial"/>
        </w:rPr>
        <w:lastRenderedPageBreak/>
        <w:t>O cumprimento das normas legais que regulamentam o RPPS;</w:t>
      </w:r>
    </w:p>
    <w:p w:rsidR="002D2845" w:rsidRPr="003D4F7F" w:rsidRDefault="002D2845" w:rsidP="002D2845">
      <w:pPr>
        <w:numPr>
          <w:ilvl w:val="0"/>
          <w:numId w:val="1"/>
        </w:numPr>
        <w:spacing w:before="120" w:after="120"/>
        <w:jc w:val="both"/>
        <w:rPr>
          <w:rFonts w:asciiTheme="minorHAnsi" w:hAnsiTheme="minorHAnsi" w:cs="Arial"/>
          <w:b/>
          <w:bCs/>
        </w:rPr>
      </w:pPr>
      <w:r w:rsidRPr="00A252CB">
        <w:rPr>
          <w:rFonts w:asciiTheme="minorHAnsi" w:hAnsiTheme="minorHAnsi" w:cs="Arial"/>
        </w:rPr>
        <w:t>Metodologia</w:t>
      </w:r>
      <w:r>
        <w:rPr>
          <w:rFonts w:asciiTheme="minorHAnsi" w:hAnsiTheme="minorHAnsi" w:cs="Arial"/>
        </w:rPr>
        <w:t xml:space="preserve"> </w:t>
      </w:r>
      <w:r w:rsidRPr="00A252CB">
        <w:rPr>
          <w:rFonts w:asciiTheme="minorHAnsi" w:hAnsiTheme="minorHAnsi" w:cs="Arial"/>
        </w:rPr>
        <w:t>e atualização documental por meio de credenciamento dos fundos de investimentos</w:t>
      </w:r>
      <w:r>
        <w:rPr>
          <w:rFonts w:asciiTheme="minorHAnsi" w:hAnsiTheme="minorHAnsi" w:cs="Arial"/>
        </w:rPr>
        <w:t xml:space="preserve"> </w:t>
      </w:r>
      <w:r w:rsidRPr="003D4F7F">
        <w:rPr>
          <w:rFonts w:asciiTheme="minorHAnsi" w:hAnsiTheme="minorHAnsi" w:cs="Arial"/>
        </w:rPr>
        <w:t>acompanhado da consultoria de valores mobiliários</w:t>
      </w:r>
      <w:proofErr w:type="gramStart"/>
      <w:r w:rsidRPr="003D4F7F">
        <w:rPr>
          <w:rFonts w:asciiTheme="minorHAnsi" w:hAnsiTheme="minorHAnsi" w:cs="Arial"/>
        </w:rPr>
        <w:t>, se houver</w:t>
      </w:r>
      <w:proofErr w:type="gramEnd"/>
      <w:r w:rsidRPr="003D4F7F">
        <w:rPr>
          <w:rFonts w:asciiTheme="minorHAnsi" w:hAnsiTheme="minorHAnsi" w:cs="Arial"/>
        </w:rPr>
        <w:t>;</w:t>
      </w:r>
    </w:p>
    <w:p w:rsidR="002D2845" w:rsidRPr="003D4F7F" w:rsidRDefault="002D2845" w:rsidP="002D2845">
      <w:pPr>
        <w:numPr>
          <w:ilvl w:val="0"/>
          <w:numId w:val="1"/>
        </w:numPr>
        <w:spacing w:before="120" w:after="120"/>
        <w:jc w:val="both"/>
        <w:rPr>
          <w:rFonts w:asciiTheme="minorHAnsi" w:hAnsiTheme="minorHAnsi" w:cs="Arial"/>
          <w:b/>
          <w:bCs/>
        </w:rPr>
      </w:pPr>
      <w:r w:rsidRPr="003D4F7F">
        <w:rPr>
          <w:rFonts w:asciiTheme="minorHAnsi" w:hAnsiTheme="minorHAnsi" w:cs="Arial"/>
        </w:rPr>
        <w:t>Funcionalidade</w:t>
      </w:r>
      <w:r>
        <w:rPr>
          <w:rFonts w:asciiTheme="minorHAnsi" w:hAnsiTheme="minorHAnsi" w:cs="Arial"/>
        </w:rPr>
        <w:t xml:space="preserve"> </w:t>
      </w:r>
      <w:r w:rsidRPr="003D4F7F">
        <w:rPr>
          <w:rFonts w:asciiTheme="minorHAnsi" w:hAnsiTheme="minorHAnsi" w:cs="Arial"/>
        </w:rPr>
        <w:t>e atuação do Comitê de Investimentos;</w:t>
      </w:r>
    </w:p>
    <w:p w:rsidR="002D2845" w:rsidRPr="003D4F7F" w:rsidRDefault="002D2845" w:rsidP="002D2845">
      <w:pPr>
        <w:numPr>
          <w:ilvl w:val="0"/>
          <w:numId w:val="1"/>
        </w:numPr>
        <w:spacing w:before="120" w:after="120"/>
        <w:jc w:val="both"/>
        <w:rPr>
          <w:rFonts w:asciiTheme="minorHAnsi" w:hAnsiTheme="minorHAnsi" w:cs="Arial"/>
          <w:b/>
          <w:bCs/>
        </w:rPr>
      </w:pPr>
      <w:r w:rsidRPr="003D4F7F">
        <w:rPr>
          <w:rFonts w:asciiTheme="minorHAnsi" w:hAnsiTheme="minorHAnsi" w:cs="Arial"/>
        </w:rPr>
        <w:t>Os objetivos do Colombo Previdência</w:t>
      </w:r>
      <w:r>
        <w:rPr>
          <w:rFonts w:asciiTheme="minorHAnsi" w:hAnsiTheme="minorHAnsi" w:cs="Arial"/>
        </w:rPr>
        <w:t xml:space="preserve"> </w:t>
      </w:r>
      <w:r w:rsidRPr="003D4F7F">
        <w:rPr>
          <w:rFonts w:asciiTheme="minorHAnsi" w:hAnsiTheme="minorHAnsi" w:cs="Arial"/>
        </w:rPr>
        <w:t>consonante as obrigações presentes e as</w:t>
      </w:r>
      <w:r>
        <w:rPr>
          <w:rFonts w:asciiTheme="minorHAnsi" w:hAnsiTheme="minorHAnsi" w:cs="Arial"/>
        </w:rPr>
        <w:t xml:space="preserve"> </w:t>
      </w:r>
      <w:r w:rsidRPr="003D4F7F">
        <w:rPr>
          <w:rFonts w:asciiTheme="minorHAnsi" w:hAnsiTheme="minorHAnsi" w:cs="Arial"/>
        </w:rPr>
        <w:t>futuras apontadas</w:t>
      </w:r>
      <w:r>
        <w:rPr>
          <w:rFonts w:asciiTheme="minorHAnsi" w:hAnsiTheme="minorHAnsi" w:cs="Arial"/>
        </w:rPr>
        <w:t xml:space="preserve"> </w:t>
      </w:r>
      <w:r w:rsidRPr="003D4F7F">
        <w:rPr>
          <w:rFonts w:asciiTheme="minorHAnsi" w:hAnsiTheme="minorHAnsi" w:cs="Arial"/>
        </w:rPr>
        <w:t>no cálculo</w:t>
      </w:r>
      <w:r>
        <w:rPr>
          <w:rFonts w:asciiTheme="minorHAnsi" w:hAnsiTheme="minorHAnsi" w:cs="Arial"/>
        </w:rPr>
        <w:t xml:space="preserve"> </w:t>
      </w:r>
      <w:r w:rsidRPr="003D4F7F">
        <w:rPr>
          <w:rFonts w:asciiTheme="minorHAnsi" w:hAnsiTheme="minorHAnsi" w:cs="Arial"/>
        </w:rPr>
        <w:t>atuarial;</w:t>
      </w:r>
    </w:p>
    <w:p w:rsidR="002D2845" w:rsidRPr="003D4F7F" w:rsidRDefault="002D2845" w:rsidP="002D2845">
      <w:pPr>
        <w:numPr>
          <w:ilvl w:val="0"/>
          <w:numId w:val="1"/>
        </w:numPr>
        <w:spacing w:before="120" w:after="120"/>
        <w:jc w:val="both"/>
        <w:rPr>
          <w:rFonts w:asciiTheme="minorHAnsi" w:hAnsiTheme="minorHAnsi" w:cs="Arial"/>
          <w:b/>
          <w:bCs/>
        </w:rPr>
      </w:pPr>
      <w:r w:rsidRPr="003D4F7F">
        <w:rPr>
          <w:rFonts w:asciiTheme="minorHAnsi" w:hAnsiTheme="minorHAnsi" w:cs="Arial"/>
        </w:rPr>
        <w:t>Riscos inerente</w:t>
      </w:r>
      <w:r>
        <w:rPr>
          <w:rFonts w:asciiTheme="minorHAnsi" w:hAnsiTheme="minorHAnsi" w:cs="Arial"/>
        </w:rPr>
        <w:t>s</w:t>
      </w:r>
      <w:r w:rsidRPr="003D4F7F">
        <w:rPr>
          <w:rFonts w:asciiTheme="minorHAnsi" w:hAnsiTheme="minorHAnsi" w:cs="Arial"/>
        </w:rPr>
        <w:t xml:space="preserve"> ao processo sistêmico, legal e operacional;</w:t>
      </w:r>
    </w:p>
    <w:p w:rsidR="002D2845" w:rsidRPr="003D4F7F" w:rsidRDefault="002D2845" w:rsidP="002D2845">
      <w:pPr>
        <w:numPr>
          <w:ilvl w:val="0"/>
          <w:numId w:val="1"/>
        </w:numPr>
        <w:spacing w:before="120" w:after="120"/>
        <w:jc w:val="both"/>
        <w:rPr>
          <w:rFonts w:asciiTheme="minorHAnsi" w:hAnsiTheme="minorHAnsi" w:cs="Arial"/>
          <w:b/>
          <w:bCs/>
        </w:rPr>
      </w:pPr>
      <w:r w:rsidRPr="003D4F7F">
        <w:rPr>
          <w:rFonts w:asciiTheme="minorHAnsi" w:hAnsiTheme="minorHAnsi" w:cs="Arial"/>
        </w:rPr>
        <w:t>O perfil de investimento de médio e longo prazo e o apetite por risco;</w:t>
      </w:r>
    </w:p>
    <w:p w:rsidR="002D2845" w:rsidRPr="003D4F7F" w:rsidRDefault="002D2845" w:rsidP="002D2845">
      <w:pPr>
        <w:numPr>
          <w:ilvl w:val="0"/>
          <w:numId w:val="1"/>
        </w:numPr>
        <w:spacing w:before="120" w:after="120"/>
        <w:jc w:val="both"/>
        <w:rPr>
          <w:rFonts w:asciiTheme="minorHAnsi" w:hAnsiTheme="minorHAnsi" w:cs="Arial"/>
          <w:b/>
          <w:bCs/>
        </w:rPr>
      </w:pPr>
      <w:r w:rsidRPr="003D4F7F">
        <w:rPr>
          <w:rFonts w:asciiTheme="minorHAnsi" w:hAnsiTheme="minorHAnsi" w:cs="Arial"/>
        </w:rPr>
        <w:t>As perspectivas econômicas para o ano em curso e os</w:t>
      </w:r>
      <w:r>
        <w:rPr>
          <w:rFonts w:asciiTheme="minorHAnsi" w:hAnsiTheme="minorHAnsi" w:cs="Arial"/>
        </w:rPr>
        <w:t xml:space="preserve"> </w:t>
      </w:r>
      <w:r w:rsidRPr="003D4F7F">
        <w:rPr>
          <w:rFonts w:asciiTheme="minorHAnsi" w:hAnsiTheme="minorHAnsi" w:cs="Arial"/>
        </w:rPr>
        <w:t>próximos;</w:t>
      </w:r>
    </w:p>
    <w:p w:rsidR="002D2845" w:rsidRPr="003D4F7F" w:rsidRDefault="002D2845" w:rsidP="002D2845">
      <w:pPr>
        <w:numPr>
          <w:ilvl w:val="0"/>
          <w:numId w:val="1"/>
        </w:numPr>
        <w:spacing w:before="120" w:after="120"/>
        <w:jc w:val="both"/>
        <w:rPr>
          <w:rFonts w:asciiTheme="minorHAnsi" w:hAnsiTheme="minorHAnsi" w:cs="Arial"/>
          <w:b/>
          <w:bCs/>
        </w:rPr>
      </w:pPr>
      <w:r w:rsidRPr="003D4F7F">
        <w:rPr>
          <w:rFonts w:asciiTheme="minorHAnsi" w:hAnsiTheme="minorHAnsi" w:cs="Arial"/>
        </w:rPr>
        <w:t xml:space="preserve">Meios de transparecer todo e qualquer informação referente </w:t>
      </w:r>
      <w:proofErr w:type="gramStart"/>
      <w:r w:rsidRPr="003D4F7F">
        <w:rPr>
          <w:rFonts w:asciiTheme="minorHAnsi" w:hAnsiTheme="minorHAnsi" w:cs="Arial"/>
        </w:rPr>
        <w:t>as</w:t>
      </w:r>
      <w:proofErr w:type="gramEnd"/>
      <w:r w:rsidRPr="003D4F7F">
        <w:rPr>
          <w:rFonts w:asciiTheme="minorHAnsi" w:hAnsiTheme="minorHAnsi" w:cs="Arial"/>
        </w:rPr>
        <w:t xml:space="preserve"> ações tomadas pelos responsáveis sobre investimentos e desinvestimentos.</w:t>
      </w:r>
      <w:bookmarkStart w:id="5" w:name="_Toc219780909"/>
      <w:bookmarkStart w:id="6" w:name="_Toc280352474"/>
    </w:p>
    <w:p w:rsidR="002D2845" w:rsidRPr="003D4F7F" w:rsidRDefault="002D2845" w:rsidP="002D2845">
      <w:pPr>
        <w:spacing w:before="120" w:after="120"/>
        <w:ind w:left="720"/>
        <w:jc w:val="both"/>
        <w:rPr>
          <w:rFonts w:asciiTheme="minorHAnsi" w:hAnsiTheme="minorHAnsi" w:cs="Arial"/>
          <w:b/>
          <w:bCs/>
        </w:rPr>
      </w:pPr>
    </w:p>
    <w:p w:rsidR="002D2845" w:rsidRPr="003D4F7F" w:rsidRDefault="002D2845" w:rsidP="002D2845">
      <w:pPr>
        <w:pStyle w:val="Ttulo"/>
        <w:numPr>
          <w:ilvl w:val="0"/>
          <w:numId w:val="18"/>
        </w:numPr>
        <w:spacing w:before="120" w:after="120"/>
        <w:jc w:val="left"/>
        <w:rPr>
          <w:rFonts w:asciiTheme="minorHAnsi" w:hAnsiTheme="minorHAnsi" w:cs="Arial"/>
          <w:sz w:val="24"/>
          <w:szCs w:val="24"/>
        </w:rPr>
      </w:pPr>
      <w:bookmarkStart w:id="7" w:name="_Toc404173773"/>
      <w:r w:rsidRPr="003D4F7F">
        <w:rPr>
          <w:rFonts w:asciiTheme="minorHAnsi" w:hAnsiTheme="minorHAnsi" w:cs="Arial"/>
          <w:sz w:val="24"/>
          <w:szCs w:val="24"/>
        </w:rPr>
        <w:t>META ATUARIAL</w:t>
      </w:r>
      <w:bookmarkEnd w:id="5"/>
      <w:bookmarkEnd w:id="6"/>
      <w:bookmarkEnd w:id="7"/>
    </w:p>
    <w:p w:rsidR="002D2845" w:rsidRDefault="002D2845" w:rsidP="002D2845">
      <w:pPr>
        <w:spacing w:before="120" w:after="120"/>
        <w:jc w:val="both"/>
        <w:rPr>
          <w:rFonts w:asciiTheme="minorHAnsi" w:hAnsiTheme="minorHAnsi" w:cs="Arial"/>
        </w:rPr>
      </w:pPr>
      <w:r w:rsidRPr="003D4F7F">
        <w:rPr>
          <w:rFonts w:asciiTheme="minorHAnsi" w:hAnsiTheme="minorHAnsi" w:cs="Arial"/>
        </w:rPr>
        <w:t>Os investimentos financeiros do</w:t>
      </w:r>
      <w:r>
        <w:rPr>
          <w:rFonts w:asciiTheme="minorHAnsi" w:hAnsiTheme="minorHAnsi" w:cs="Arial"/>
        </w:rPr>
        <w:t xml:space="preserve"> </w:t>
      </w:r>
      <w:r w:rsidRPr="003D4F7F">
        <w:rPr>
          <w:rFonts w:asciiTheme="minorHAnsi" w:hAnsiTheme="minorHAnsi" w:cs="Arial"/>
        </w:rPr>
        <w:t>Colombo Previdência</w:t>
      </w:r>
      <w:r>
        <w:rPr>
          <w:rFonts w:asciiTheme="minorHAnsi" w:hAnsiTheme="minorHAnsi" w:cs="Arial"/>
        </w:rPr>
        <w:t xml:space="preserve"> </w:t>
      </w:r>
      <w:r w:rsidRPr="003D4F7F">
        <w:rPr>
          <w:rFonts w:asciiTheme="minorHAnsi" w:hAnsiTheme="minorHAnsi" w:cs="Arial"/>
        </w:rPr>
        <w:t>serão</w:t>
      </w:r>
      <w:r w:rsidRPr="00A252CB">
        <w:rPr>
          <w:rFonts w:asciiTheme="minorHAnsi" w:hAnsiTheme="minorHAnsi" w:cs="Arial"/>
        </w:rPr>
        <w:t xml:space="preserve"> realizados em 2015 de forma a se obter retorno igual, ou se possível superior, </w:t>
      </w:r>
      <w:r w:rsidRPr="003D4F7F">
        <w:rPr>
          <w:rFonts w:asciiTheme="minorHAnsi" w:hAnsiTheme="minorHAnsi" w:cs="Arial"/>
        </w:rPr>
        <w:t>à variação do IPCA (Índice Nacional de Preços ao Consumidor Amplo</w:t>
      </w:r>
      <w:proofErr w:type="gramStart"/>
      <w:r w:rsidRPr="003D4F7F">
        <w:rPr>
          <w:rFonts w:asciiTheme="minorHAnsi" w:hAnsiTheme="minorHAnsi" w:cs="Arial"/>
        </w:rPr>
        <w:t>)divulgado</w:t>
      </w:r>
      <w:proofErr w:type="gramEnd"/>
      <w:r w:rsidRPr="003D4F7F">
        <w:rPr>
          <w:rFonts w:asciiTheme="minorHAnsi" w:hAnsiTheme="minorHAnsi" w:cs="Arial"/>
        </w:rPr>
        <w:t xml:space="preserve"> mensalmente pelo IBGE (Instituto Brasileiro de Geografia e Estatística), acrescido de uma taxa de juros</w:t>
      </w:r>
      <w:r w:rsidRPr="00A252CB">
        <w:rPr>
          <w:rFonts w:asciiTheme="minorHAnsi" w:hAnsiTheme="minorHAnsi" w:cs="Arial"/>
        </w:rPr>
        <w:t xml:space="preserve"> de 6% </w:t>
      </w:r>
      <w:proofErr w:type="spellStart"/>
      <w:r w:rsidRPr="00A252CB">
        <w:rPr>
          <w:rFonts w:asciiTheme="minorHAnsi" w:hAnsiTheme="minorHAnsi" w:cs="Arial"/>
        </w:rPr>
        <w:t>a.a.</w:t>
      </w:r>
      <w:proofErr w:type="spellEnd"/>
      <w:r w:rsidRPr="00A252CB">
        <w:rPr>
          <w:rFonts w:asciiTheme="minorHAnsi" w:hAnsiTheme="minorHAnsi" w:cs="Arial"/>
        </w:rPr>
        <w:t xml:space="preserve"> (seis por cento ao ano) estabelecida como necessidade atuarial, conforme os cálculos atuariais vigentes, esta é a meta definida.</w:t>
      </w:r>
    </w:p>
    <w:p w:rsidR="00F0064A" w:rsidRPr="00A252CB" w:rsidRDefault="00F0064A" w:rsidP="002D2845">
      <w:pPr>
        <w:spacing w:before="120" w:after="120"/>
        <w:jc w:val="both"/>
        <w:rPr>
          <w:rFonts w:asciiTheme="minorHAnsi" w:hAnsiTheme="minorHAnsi" w:cs="Arial"/>
        </w:rPr>
      </w:pPr>
    </w:p>
    <w:p w:rsidR="002D2845" w:rsidRPr="00A252CB" w:rsidRDefault="002D2845" w:rsidP="002D2845">
      <w:pPr>
        <w:pStyle w:val="Ttulo"/>
        <w:numPr>
          <w:ilvl w:val="0"/>
          <w:numId w:val="18"/>
        </w:numPr>
        <w:spacing w:before="120" w:after="120"/>
        <w:jc w:val="left"/>
        <w:rPr>
          <w:rFonts w:asciiTheme="minorHAnsi" w:hAnsiTheme="minorHAnsi" w:cs="Arial"/>
          <w:sz w:val="24"/>
          <w:szCs w:val="24"/>
        </w:rPr>
      </w:pPr>
      <w:bookmarkStart w:id="8" w:name="_Toc404173774"/>
      <w:r w:rsidRPr="00A252CB">
        <w:rPr>
          <w:rFonts w:asciiTheme="minorHAnsi" w:hAnsiTheme="minorHAnsi" w:cs="Arial"/>
          <w:sz w:val="24"/>
          <w:szCs w:val="24"/>
        </w:rPr>
        <w:t>MODELO DE GESTÃO</w:t>
      </w:r>
      <w:bookmarkEnd w:id="8"/>
    </w:p>
    <w:p w:rsidR="002D2845" w:rsidRPr="00A252CB" w:rsidRDefault="002D2845" w:rsidP="002D2845">
      <w:pPr>
        <w:spacing w:before="120" w:after="120"/>
        <w:jc w:val="both"/>
        <w:rPr>
          <w:rFonts w:asciiTheme="minorHAnsi" w:hAnsiTheme="minorHAnsi" w:cs="Arial"/>
        </w:rPr>
      </w:pPr>
      <w:r w:rsidRPr="00A252CB">
        <w:rPr>
          <w:rFonts w:asciiTheme="minorHAnsi" w:hAnsiTheme="minorHAnsi" w:cs="Arial"/>
          <w:bCs/>
        </w:rPr>
        <w:t xml:space="preserve">Conforme o </w:t>
      </w:r>
      <w:r w:rsidRPr="00A252CB">
        <w:rPr>
          <w:rFonts w:asciiTheme="minorHAnsi" w:hAnsiTheme="minorHAnsi" w:cs="Arial"/>
        </w:rPr>
        <w:t>Art.15, § 1º, I da Resolução CMN n°3.922/2010 a gestão das aplicações dos RPPS poderá ser própria, por entidade autorizada e credenciada ou mista.</w:t>
      </w:r>
    </w:p>
    <w:p w:rsidR="002D2845" w:rsidRPr="003D4F7F" w:rsidRDefault="002D2845" w:rsidP="002D2845">
      <w:pPr>
        <w:spacing w:before="120" w:after="120"/>
        <w:jc w:val="both"/>
        <w:rPr>
          <w:rFonts w:asciiTheme="minorHAnsi" w:hAnsiTheme="minorHAnsi" w:cs="Arial"/>
        </w:rPr>
      </w:pPr>
      <w:r w:rsidRPr="00A252CB">
        <w:rPr>
          <w:rFonts w:asciiTheme="minorHAnsi" w:hAnsiTheme="minorHAnsi" w:cs="Arial"/>
        </w:rPr>
        <w:t xml:space="preserve">Em atendimento a norma, a gestão dos recursos financeiros </w:t>
      </w:r>
      <w:r w:rsidRPr="003D4F7F">
        <w:rPr>
          <w:rFonts w:asciiTheme="minorHAnsi" w:hAnsiTheme="minorHAnsi" w:cs="Arial"/>
        </w:rPr>
        <w:t>do Colombo Previdência</w:t>
      </w:r>
      <w:r w:rsidRPr="003D4F7F">
        <w:rPr>
          <w:rFonts w:asciiTheme="minorHAnsi" w:hAnsiTheme="minorHAnsi" w:cs="Arial"/>
          <w:bCs/>
        </w:rPr>
        <w:t xml:space="preserve"> será </w:t>
      </w:r>
      <w:r w:rsidRPr="003D4F7F">
        <w:rPr>
          <w:rFonts w:asciiTheme="minorHAnsi" w:hAnsiTheme="minorHAnsi" w:cs="Arial"/>
          <w:b/>
          <w:bCs/>
        </w:rPr>
        <w:t>PRÓPRIA</w:t>
      </w:r>
      <w:r w:rsidRPr="003D4F7F">
        <w:rPr>
          <w:rFonts w:asciiTheme="minorHAnsi" w:hAnsiTheme="minorHAnsi" w:cs="Arial"/>
          <w:bCs/>
        </w:rPr>
        <w:t xml:space="preserve">. </w:t>
      </w:r>
    </w:p>
    <w:p w:rsidR="002D2845" w:rsidRPr="003D4F7F" w:rsidRDefault="002D2845" w:rsidP="002D2845">
      <w:pPr>
        <w:spacing w:before="120" w:after="120"/>
        <w:jc w:val="both"/>
        <w:rPr>
          <w:rFonts w:asciiTheme="minorHAnsi" w:hAnsiTheme="minorHAnsi" w:cs="Arial"/>
          <w:bCs/>
        </w:rPr>
      </w:pPr>
      <w:r w:rsidRPr="003D4F7F">
        <w:rPr>
          <w:rFonts w:asciiTheme="minorHAnsi" w:hAnsiTheme="minorHAnsi" w:cs="Arial"/>
          <w:bCs/>
        </w:rPr>
        <w:t>Caracteriza-se como gestão própria dos recursos, quando as aplicações são realizadas diretamente pelo órgão ou entidade gestora do Regime Próprio de Previdência Social.</w:t>
      </w:r>
    </w:p>
    <w:p w:rsidR="002D2845" w:rsidRPr="00A252CB" w:rsidRDefault="002D2845" w:rsidP="002D2845">
      <w:pPr>
        <w:spacing w:before="120" w:after="120"/>
        <w:jc w:val="both"/>
        <w:rPr>
          <w:rFonts w:asciiTheme="minorHAnsi" w:hAnsiTheme="minorHAnsi" w:cs="Arial"/>
          <w:bCs/>
        </w:rPr>
      </w:pPr>
    </w:p>
    <w:p w:rsidR="002D2845" w:rsidRPr="00A252CB" w:rsidRDefault="002D2845" w:rsidP="002D2845">
      <w:pPr>
        <w:pStyle w:val="Ttulo"/>
        <w:numPr>
          <w:ilvl w:val="0"/>
          <w:numId w:val="18"/>
        </w:numPr>
        <w:spacing w:before="120" w:after="120"/>
        <w:jc w:val="left"/>
        <w:rPr>
          <w:rFonts w:asciiTheme="minorHAnsi" w:hAnsiTheme="minorHAnsi" w:cs="Arial"/>
          <w:sz w:val="24"/>
          <w:szCs w:val="24"/>
        </w:rPr>
      </w:pPr>
      <w:bookmarkStart w:id="9" w:name="_Toc280352475"/>
      <w:bookmarkStart w:id="10" w:name="_Toc404173775"/>
      <w:r w:rsidRPr="00A252CB">
        <w:rPr>
          <w:rFonts w:asciiTheme="minorHAnsi" w:hAnsiTheme="minorHAnsi" w:cs="Arial"/>
          <w:sz w:val="24"/>
          <w:szCs w:val="24"/>
        </w:rPr>
        <w:t>OBRIGAÇÕES DOS GESTORES DO RPPS</w:t>
      </w:r>
      <w:bookmarkEnd w:id="9"/>
      <w:bookmarkEnd w:id="10"/>
    </w:p>
    <w:p w:rsidR="002D2845" w:rsidRDefault="002D2845" w:rsidP="002D2845">
      <w:pPr>
        <w:spacing w:before="120" w:after="120"/>
        <w:jc w:val="both"/>
        <w:rPr>
          <w:rFonts w:asciiTheme="minorHAnsi" w:hAnsiTheme="minorHAnsi" w:cs="Arial"/>
        </w:rPr>
      </w:pPr>
      <w:r w:rsidRPr="00A252CB">
        <w:rPr>
          <w:rFonts w:asciiTheme="minorHAnsi" w:hAnsiTheme="minorHAnsi" w:cs="Arial"/>
        </w:rPr>
        <w:t>Conforme o artigo 3º da Portaria nº 519 editada pelo Ministério da Previdência Social em 24/08/2011, com redação dada pela Portaria MPS nº 170 de 25/04/2012 e a Portaria MPS n°440 de 09/10/2013, a União, os Estados, o Distrito Federal e os Municípios deverão observar, na gestão dos recursos de seus RPPS, além das obrigações previstas em Resolução do CMN (Conselho Monetário Nacional) dispondo sobre as aplicações dos recursos dos RPPS:</w:t>
      </w:r>
    </w:p>
    <w:p w:rsidR="007A4697" w:rsidRDefault="007A4697" w:rsidP="002D2845">
      <w:pPr>
        <w:spacing w:before="120" w:after="120"/>
        <w:jc w:val="both"/>
        <w:rPr>
          <w:rFonts w:asciiTheme="minorHAnsi" w:hAnsiTheme="minorHAnsi" w:cs="Arial"/>
        </w:rPr>
      </w:pPr>
    </w:p>
    <w:p w:rsidR="007A4697" w:rsidRPr="00A252CB" w:rsidRDefault="007A4697" w:rsidP="002D2845">
      <w:pPr>
        <w:spacing w:before="120" w:after="120"/>
        <w:jc w:val="both"/>
        <w:rPr>
          <w:rFonts w:asciiTheme="minorHAnsi" w:hAnsiTheme="minorHAnsi" w:cs="Arial"/>
        </w:rPr>
      </w:pPr>
    </w:p>
    <w:p w:rsidR="002D2845" w:rsidRPr="003D4F7F" w:rsidRDefault="002D2845" w:rsidP="002D2845">
      <w:pPr>
        <w:numPr>
          <w:ilvl w:val="0"/>
          <w:numId w:val="2"/>
        </w:numPr>
        <w:spacing w:before="120" w:after="120"/>
        <w:jc w:val="both"/>
        <w:rPr>
          <w:rFonts w:asciiTheme="minorHAnsi" w:hAnsiTheme="minorHAnsi" w:cs="Arial"/>
        </w:rPr>
      </w:pPr>
      <w:r w:rsidRPr="00A252CB">
        <w:rPr>
          <w:rFonts w:asciiTheme="minorHAnsi" w:hAnsiTheme="minorHAnsi" w:cs="Arial"/>
        </w:rPr>
        <w:lastRenderedPageBreak/>
        <w:t xml:space="preserve">Quando as aplicações de parte </w:t>
      </w:r>
      <w:r w:rsidRPr="003D4F7F">
        <w:rPr>
          <w:rFonts w:asciiTheme="minorHAnsi" w:hAnsiTheme="minorHAnsi" w:cs="Arial"/>
        </w:rPr>
        <w:t>ou da totalidade dos recursos do Colombo Previdência</w:t>
      </w:r>
      <w:r>
        <w:rPr>
          <w:rFonts w:asciiTheme="minorHAnsi" w:hAnsiTheme="minorHAnsi" w:cs="Arial"/>
        </w:rPr>
        <w:t xml:space="preserve"> </w:t>
      </w:r>
      <w:r w:rsidRPr="003D4F7F">
        <w:rPr>
          <w:rFonts w:asciiTheme="minorHAnsi" w:hAnsiTheme="minorHAnsi" w:cs="Arial"/>
          <w:bCs/>
        </w:rPr>
        <w:t>não</w:t>
      </w:r>
      <w:r w:rsidRPr="003D4F7F">
        <w:rPr>
          <w:rFonts w:asciiTheme="minorHAnsi" w:hAnsiTheme="minorHAnsi" w:cs="Arial"/>
        </w:rPr>
        <w:t xml:space="preserve"> forem realizadas pelos responsáveis pela sua gestão e sim por intermédio de entidade autorizada e credenciada para tal, realizar processo seletivo e submetê-lo à instância superior de deliberação, tendo como critérios, no mínimo, a solidez patrimonial da entidade, a compatibilidade desta com o volume de recursos e a experiência positiva no exercício da atividade de administração de recursos de terceiros;</w:t>
      </w:r>
    </w:p>
    <w:p w:rsidR="002D2845" w:rsidRPr="003D4F7F" w:rsidRDefault="002D2845" w:rsidP="002D2845">
      <w:pPr>
        <w:numPr>
          <w:ilvl w:val="0"/>
          <w:numId w:val="2"/>
        </w:numPr>
        <w:spacing w:before="120" w:after="120"/>
        <w:jc w:val="both"/>
        <w:rPr>
          <w:rFonts w:asciiTheme="minorHAnsi" w:hAnsiTheme="minorHAnsi" w:cs="Arial"/>
        </w:rPr>
      </w:pPr>
      <w:r w:rsidRPr="003D4F7F">
        <w:rPr>
          <w:rFonts w:asciiTheme="minorHAnsi" w:hAnsiTheme="minorHAnsi" w:cs="Arial"/>
        </w:rPr>
        <w:t>Exigir da entidade autorizada e credenciada, mediante contrato, no mínimo mensalmente, relatório detalhado contendo informações sobre a rentabilidade e risco das aplicações;</w:t>
      </w:r>
    </w:p>
    <w:p w:rsidR="002D2845" w:rsidRPr="003D4F7F" w:rsidRDefault="002D2845" w:rsidP="002D2845">
      <w:pPr>
        <w:numPr>
          <w:ilvl w:val="0"/>
          <w:numId w:val="2"/>
        </w:numPr>
        <w:spacing w:before="120" w:after="120"/>
        <w:jc w:val="both"/>
        <w:rPr>
          <w:rFonts w:asciiTheme="minorHAnsi" w:hAnsiTheme="minorHAnsi" w:cs="Arial"/>
        </w:rPr>
      </w:pPr>
      <w:r w:rsidRPr="003D4F7F">
        <w:rPr>
          <w:rFonts w:asciiTheme="minorHAnsi" w:hAnsiTheme="minorHAnsi" w:cs="Arial"/>
        </w:rPr>
        <w:t>Realizar avaliação do desempenho das aplicações efetuadas por entidade autorizada e credenciada, no mínimo semestralmente, adotando de imediato, medidas cabíveis no caso da constatação de desempenho insatisfatória;</w:t>
      </w:r>
    </w:p>
    <w:p w:rsidR="002D2845" w:rsidRPr="003D4F7F" w:rsidRDefault="002D2845" w:rsidP="002D2845">
      <w:pPr>
        <w:numPr>
          <w:ilvl w:val="0"/>
          <w:numId w:val="2"/>
        </w:numPr>
        <w:spacing w:before="120" w:after="120"/>
        <w:jc w:val="both"/>
        <w:rPr>
          <w:rFonts w:asciiTheme="minorHAnsi" w:hAnsiTheme="minorHAnsi" w:cs="Arial"/>
        </w:rPr>
      </w:pPr>
      <w:r w:rsidRPr="003D4F7F">
        <w:rPr>
          <w:rFonts w:asciiTheme="minorHAnsi" w:hAnsiTheme="minorHAnsi" w:cs="Arial"/>
        </w:rPr>
        <w:t xml:space="preserve">Zelar pela </w:t>
      </w:r>
      <w:proofErr w:type="gramStart"/>
      <w:r w:rsidRPr="003D4F7F">
        <w:rPr>
          <w:rFonts w:asciiTheme="minorHAnsi" w:hAnsiTheme="minorHAnsi" w:cs="Arial"/>
        </w:rPr>
        <w:t>promoção de elevados padrões éticos</w:t>
      </w:r>
      <w:proofErr w:type="gramEnd"/>
      <w:r w:rsidRPr="003D4F7F">
        <w:rPr>
          <w:rFonts w:asciiTheme="minorHAnsi" w:hAnsiTheme="minorHAnsi" w:cs="Arial"/>
        </w:rPr>
        <w:t xml:space="preserve"> na condução das operações relativas às aplicações dos recursos operados pelo RPPS, bem como pela eficiência dos procedimentos técnicos, operacionais e de controle das aplicações;</w:t>
      </w:r>
    </w:p>
    <w:p w:rsidR="002D2845" w:rsidRPr="003D4F7F" w:rsidRDefault="002D2845" w:rsidP="002D2845">
      <w:pPr>
        <w:numPr>
          <w:ilvl w:val="0"/>
          <w:numId w:val="2"/>
        </w:numPr>
        <w:spacing w:before="120" w:after="120"/>
        <w:jc w:val="both"/>
        <w:rPr>
          <w:rFonts w:asciiTheme="minorHAnsi" w:hAnsiTheme="minorHAnsi" w:cs="Arial"/>
        </w:rPr>
      </w:pPr>
      <w:r w:rsidRPr="003D4F7F">
        <w:rPr>
          <w:rFonts w:asciiTheme="minorHAnsi" w:hAnsiTheme="minorHAnsi" w:cs="Arial"/>
        </w:rPr>
        <w:t xml:space="preserve">Elaborar relatórios detalhados, no mínimo, trimestralmente, sobre a rentabilidade, os riscos das diversas modalidades de operações realizadas nas aplicações dos recursos do RPPS e a aderência à </w:t>
      </w:r>
      <w:r w:rsidR="000D2262" w:rsidRPr="003D4F7F">
        <w:rPr>
          <w:rFonts w:asciiTheme="minorHAnsi" w:hAnsiTheme="minorHAnsi" w:cs="Arial"/>
        </w:rPr>
        <w:t>política</w:t>
      </w:r>
      <w:r w:rsidRPr="003D4F7F">
        <w:rPr>
          <w:rFonts w:asciiTheme="minorHAnsi" w:hAnsiTheme="minorHAnsi" w:cs="Arial"/>
        </w:rPr>
        <w:t xml:space="preserve"> anual de investimentos e suas revisões e submetê-los às instâncias superiores de deliberação e controle;</w:t>
      </w:r>
    </w:p>
    <w:p w:rsidR="002D2845" w:rsidRPr="003D4F7F" w:rsidRDefault="002D2845" w:rsidP="002D2845">
      <w:pPr>
        <w:numPr>
          <w:ilvl w:val="0"/>
          <w:numId w:val="2"/>
        </w:numPr>
        <w:spacing w:before="120" w:after="120"/>
        <w:jc w:val="both"/>
        <w:rPr>
          <w:rFonts w:asciiTheme="minorHAnsi" w:hAnsiTheme="minorHAnsi" w:cs="Arial"/>
        </w:rPr>
      </w:pPr>
      <w:r w:rsidRPr="003D4F7F">
        <w:rPr>
          <w:rFonts w:asciiTheme="minorHAnsi" w:hAnsiTheme="minorHAnsi" w:cs="Arial"/>
        </w:rPr>
        <w:t>Assegurar-se do desempenho positivo de qualquer entidade que mantiver relação de prestação de serviços e ou consultoria nas operações de aplicação dos recursos do RPPS e da regularidade do registro na Comissão de Valores Mobiliários - CVM;</w:t>
      </w:r>
    </w:p>
    <w:p w:rsidR="002D2845" w:rsidRPr="003D4F7F" w:rsidRDefault="002D2845" w:rsidP="002D2845">
      <w:pPr>
        <w:numPr>
          <w:ilvl w:val="0"/>
          <w:numId w:val="2"/>
        </w:numPr>
        <w:spacing w:before="120" w:after="120"/>
        <w:jc w:val="both"/>
        <w:rPr>
          <w:rFonts w:asciiTheme="minorHAnsi" w:hAnsiTheme="minorHAnsi" w:cs="Arial"/>
        </w:rPr>
      </w:pPr>
      <w:r w:rsidRPr="003D4F7F">
        <w:rPr>
          <w:rFonts w:asciiTheme="minorHAnsi" w:hAnsiTheme="minorHAnsi" w:cs="Arial"/>
        </w:rPr>
        <w:t xml:space="preserve">Condicionar, mediante termo específico, o pagamento de taxa de </w:t>
      </w:r>
      <w:proofErr w:type="gramStart"/>
      <w:r w:rsidRPr="003D4F7F">
        <w:rPr>
          <w:rFonts w:asciiTheme="minorHAnsi" w:hAnsiTheme="minorHAnsi" w:cs="Arial"/>
        </w:rPr>
        <w:t>performance</w:t>
      </w:r>
      <w:proofErr w:type="gramEnd"/>
      <w:r w:rsidRPr="003D4F7F">
        <w:rPr>
          <w:rFonts w:asciiTheme="minorHAnsi" w:hAnsiTheme="minorHAnsi" w:cs="Arial"/>
        </w:rPr>
        <w:t xml:space="preserve"> na aplicação dos recursos do RPPS em cotas de fundos de investimento, ou por meio de carteiras administradas, ao atendimento, além da regulamentação emanada de órgãos competentes, especialmente da CVM (Comissão de Valores Mobiliários), no mínimo, dos seguintes critérios:</w:t>
      </w:r>
    </w:p>
    <w:p w:rsidR="002D2845" w:rsidRPr="003D4F7F" w:rsidRDefault="002D2845" w:rsidP="002D2845">
      <w:pPr>
        <w:numPr>
          <w:ilvl w:val="1"/>
          <w:numId w:val="2"/>
        </w:numPr>
        <w:spacing w:before="120" w:after="120"/>
        <w:jc w:val="both"/>
        <w:rPr>
          <w:rFonts w:asciiTheme="minorHAnsi" w:hAnsiTheme="minorHAnsi" w:cs="Arial"/>
        </w:rPr>
      </w:pPr>
      <w:r w:rsidRPr="003D4F7F">
        <w:rPr>
          <w:rFonts w:asciiTheme="minorHAnsi" w:hAnsiTheme="minorHAnsi" w:cs="Arial"/>
        </w:rPr>
        <w:t>Que o pagamento tenha periodicidade mínima semestral ou que seja feito no resgate da aplicação;</w:t>
      </w:r>
    </w:p>
    <w:p w:rsidR="002D2845" w:rsidRPr="003D4F7F" w:rsidRDefault="002D2845" w:rsidP="002D2845">
      <w:pPr>
        <w:numPr>
          <w:ilvl w:val="1"/>
          <w:numId w:val="2"/>
        </w:numPr>
        <w:spacing w:before="120" w:after="120"/>
        <w:jc w:val="both"/>
        <w:rPr>
          <w:rFonts w:asciiTheme="minorHAnsi" w:hAnsiTheme="minorHAnsi" w:cs="Arial"/>
        </w:rPr>
      </w:pPr>
      <w:r w:rsidRPr="003D4F7F">
        <w:rPr>
          <w:rFonts w:asciiTheme="minorHAnsi" w:hAnsiTheme="minorHAnsi" w:cs="Arial"/>
        </w:rPr>
        <w:t>Que o resultado da aplicação da carteira ou do fundo de investimento supere a valorização do índice de referência;</w:t>
      </w:r>
    </w:p>
    <w:p w:rsidR="002D2845" w:rsidRPr="003D4F7F" w:rsidRDefault="002D2845" w:rsidP="002D2845">
      <w:pPr>
        <w:numPr>
          <w:ilvl w:val="1"/>
          <w:numId w:val="2"/>
        </w:numPr>
        <w:spacing w:before="120" w:after="120"/>
        <w:jc w:val="both"/>
        <w:rPr>
          <w:rFonts w:asciiTheme="minorHAnsi" w:hAnsiTheme="minorHAnsi" w:cs="Arial"/>
        </w:rPr>
      </w:pPr>
      <w:r w:rsidRPr="003D4F7F">
        <w:rPr>
          <w:rFonts w:asciiTheme="minorHAnsi" w:hAnsiTheme="minorHAnsi" w:cs="Arial"/>
        </w:rPr>
        <w:t>Que a cobrança seja feita somente depois da dedução das despesas decorrentes da aplicação dos recursos, inclusive da taxa de administração; e</w:t>
      </w:r>
    </w:p>
    <w:p w:rsidR="002D2845" w:rsidRDefault="002D2845" w:rsidP="002D2845">
      <w:pPr>
        <w:numPr>
          <w:ilvl w:val="1"/>
          <w:numId w:val="2"/>
        </w:numPr>
        <w:spacing w:before="120" w:after="120"/>
        <w:jc w:val="both"/>
        <w:rPr>
          <w:rFonts w:asciiTheme="minorHAnsi" w:hAnsiTheme="minorHAnsi" w:cs="Arial"/>
        </w:rPr>
      </w:pPr>
      <w:r w:rsidRPr="003D4F7F">
        <w:rPr>
          <w:rFonts w:asciiTheme="minorHAnsi" w:hAnsiTheme="minorHAnsi" w:cs="Arial"/>
        </w:rPr>
        <w:t>Que o parâmetro de referência seja compatível com a política de investimento do fundo e com os títulos que efetivamente o componha.</w:t>
      </w:r>
    </w:p>
    <w:p w:rsidR="007A4697" w:rsidRDefault="007A4697" w:rsidP="007A4697">
      <w:pPr>
        <w:spacing w:before="120" w:after="120"/>
        <w:jc w:val="both"/>
        <w:rPr>
          <w:rFonts w:asciiTheme="minorHAnsi" w:hAnsiTheme="minorHAnsi" w:cs="Arial"/>
        </w:rPr>
      </w:pPr>
    </w:p>
    <w:p w:rsidR="007A4697" w:rsidRPr="003D4F7F" w:rsidRDefault="007A4697" w:rsidP="007A4697">
      <w:pPr>
        <w:spacing w:before="120" w:after="120"/>
        <w:jc w:val="both"/>
        <w:rPr>
          <w:rFonts w:asciiTheme="minorHAnsi" w:hAnsiTheme="minorHAnsi" w:cs="Arial"/>
        </w:rPr>
      </w:pPr>
    </w:p>
    <w:p w:rsidR="002D2845" w:rsidRPr="003D4F7F" w:rsidRDefault="002D2845" w:rsidP="002D2845">
      <w:pPr>
        <w:numPr>
          <w:ilvl w:val="0"/>
          <w:numId w:val="3"/>
        </w:numPr>
        <w:spacing w:before="120" w:after="120"/>
        <w:jc w:val="both"/>
        <w:rPr>
          <w:rFonts w:asciiTheme="minorHAnsi" w:hAnsiTheme="minorHAnsi" w:cs="Arial"/>
        </w:rPr>
      </w:pPr>
      <w:r w:rsidRPr="003D4F7F">
        <w:rPr>
          <w:rFonts w:asciiTheme="minorHAnsi" w:hAnsiTheme="minorHAnsi" w:cs="Arial"/>
        </w:rPr>
        <w:lastRenderedPageBreak/>
        <w:t>Disponibilizar aos seus segurados e pensionistas:</w:t>
      </w:r>
    </w:p>
    <w:p w:rsidR="002D2845" w:rsidRPr="003D4F7F" w:rsidRDefault="002D2845" w:rsidP="002D2845">
      <w:pPr>
        <w:numPr>
          <w:ilvl w:val="1"/>
          <w:numId w:val="3"/>
        </w:numPr>
        <w:spacing w:before="120" w:after="120"/>
        <w:jc w:val="both"/>
        <w:rPr>
          <w:rFonts w:asciiTheme="minorHAnsi" w:hAnsiTheme="minorHAnsi" w:cs="Arial"/>
        </w:rPr>
      </w:pPr>
      <w:r w:rsidRPr="003D4F7F">
        <w:rPr>
          <w:rFonts w:asciiTheme="minorHAnsi" w:hAnsiTheme="minorHAnsi" w:cs="Arial"/>
        </w:rPr>
        <w:t>A política anual de investimentos e suas revisões no prazo de até trinta dias, a partir da data de sua aprovação;</w:t>
      </w:r>
    </w:p>
    <w:p w:rsidR="002D2845" w:rsidRPr="003D4F7F" w:rsidRDefault="002D2845" w:rsidP="002D2845">
      <w:pPr>
        <w:numPr>
          <w:ilvl w:val="1"/>
          <w:numId w:val="3"/>
        </w:numPr>
        <w:spacing w:before="120" w:after="120"/>
        <w:jc w:val="both"/>
        <w:rPr>
          <w:rFonts w:asciiTheme="minorHAnsi" w:hAnsiTheme="minorHAnsi" w:cs="Arial"/>
        </w:rPr>
      </w:pPr>
      <w:r w:rsidRPr="003D4F7F">
        <w:rPr>
          <w:rFonts w:asciiTheme="minorHAnsi" w:hAnsiTheme="minorHAnsi" w:cs="Arial"/>
        </w:rPr>
        <w:t>As informações contidas nos formulários APR – Autorização de Aplicação e Resgate, no prazo de até trinta dias, contados da respectiva aplicação ou resgate;</w:t>
      </w:r>
    </w:p>
    <w:p w:rsidR="002D2845" w:rsidRPr="003D4F7F" w:rsidRDefault="002D2845" w:rsidP="002D2845">
      <w:pPr>
        <w:numPr>
          <w:ilvl w:val="1"/>
          <w:numId w:val="3"/>
        </w:numPr>
        <w:spacing w:before="120" w:after="120"/>
        <w:jc w:val="both"/>
        <w:rPr>
          <w:rFonts w:asciiTheme="minorHAnsi" w:hAnsiTheme="minorHAnsi" w:cs="Arial"/>
        </w:rPr>
      </w:pPr>
      <w:r w:rsidRPr="003D4F7F">
        <w:rPr>
          <w:rFonts w:asciiTheme="minorHAnsi" w:hAnsiTheme="minorHAnsi" w:cs="Arial"/>
        </w:rPr>
        <w:t xml:space="preserve">A composição da carteira de investimentos do RPPS no prazo de até trinta dias após o encerramento do mês; </w:t>
      </w:r>
    </w:p>
    <w:p w:rsidR="002D2845" w:rsidRPr="003D4F7F" w:rsidRDefault="002D2845" w:rsidP="002D2845">
      <w:pPr>
        <w:numPr>
          <w:ilvl w:val="1"/>
          <w:numId w:val="3"/>
        </w:numPr>
        <w:spacing w:before="120" w:after="120"/>
        <w:jc w:val="both"/>
        <w:rPr>
          <w:rFonts w:asciiTheme="minorHAnsi" w:hAnsiTheme="minorHAnsi" w:cs="Arial"/>
        </w:rPr>
      </w:pPr>
      <w:r w:rsidRPr="003D4F7F">
        <w:rPr>
          <w:rFonts w:asciiTheme="minorHAnsi" w:hAnsiTheme="minorHAnsi" w:cs="Arial"/>
        </w:rPr>
        <w:t>Os procedimentos de seleção das eventuais entidades autorizadas e credenciadas;</w:t>
      </w:r>
    </w:p>
    <w:p w:rsidR="002D2845" w:rsidRPr="003D4F7F" w:rsidRDefault="002D2845" w:rsidP="002D2845">
      <w:pPr>
        <w:numPr>
          <w:ilvl w:val="1"/>
          <w:numId w:val="3"/>
        </w:numPr>
        <w:spacing w:before="120" w:after="120"/>
        <w:jc w:val="both"/>
        <w:rPr>
          <w:rFonts w:asciiTheme="minorHAnsi" w:hAnsiTheme="minorHAnsi" w:cs="Arial"/>
        </w:rPr>
      </w:pPr>
      <w:r w:rsidRPr="003D4F7F">
        <w:rPr>
          <w:rFonts w:asciiTheme="minorHAnsi" w:hAnsiTheme="minorHAnsi" w:cs="Arial"/>
        </w:rPr>
        <w:t>As informações relativas ao processo de credenciamento de instituições para receber as aplicações dos recursos do RPPS;</w:t>
      </w:r>
    </w:p>
    <w:p w:rsidR="002D2845" w:rsidRPr="003D4F7F" w:rsidRDefault="002D2845" w:rsidP="002D2845">
      <w:pPr>
        <w:numPr>
          <w:ilvl w:val="1"/>
          <w:numId w:val="3"/>
        </w:numPr>
        <w:spacing w:before="120" w:after="120"/>
        <w:jc w:val="both"/>
        <w:rPr>
          <w:rFonts w:asciiTheme="minorHAnsi" w:hAnsiTheme="minorHAnsi" w:cs="Arial"/>
        </w:rPr>
      </w:pPr>
      <w:r w:rsidRPr="003D4F7F">
        <w:rPr>
          <w:rFonts w:asciiTheme="minorHAnsi" w:hAnsiTheme="minorHAnsi" w:cs="Arial"/>
        </w:rPr>
        <w:t>A relação de entidades credenciadas para atuar com o RPPS e respectiva data de atualização do credenciamento;</w:t>
      </w:r>
    </w:p>
    <w:p w:rsidR="002D2845" w:rsidRPr="003D4F7F" w:rsidRDefault="002D2845" w:rsidP="002D2845">
      <w:pPr>
        <w:numPr>
          <w:ilvl w:val="1"/>
          <w:numId w:val="3"/>
        </w:numPr>
        <w:spacing w:before="120" w:after="120"/>
        <w:jc w:val="both"/>
        <w:rPr>
          <w:rFonts w:asciiTheme="minorHAnsi" w:hAnsiTheme="minorHAnsi" w:cs="Arial"/>
        </w:rPr>
      </w:pPr>
      <w:r w:rsidRPr="003D4F7F">
        <w:rPr>
          <w:rFonts w:asciiTheme="minorHAnsi" w:hAnsiTheme="minorHAnsi" w:cs="Arial"/>
        </w:rPr>
        <w:t>As datas e locais das reuniões dos órgãos de deliberação colegiada e do Comitê de Investimentos;</w:t>
      </w:r>
    </w:p>
    <w:p w:rsidR="002D2845" w:rsidRPr="003D4F7F" w:rsidRDefault="002D2845" w:rsidP="002D2845">
      <w:pPr>
        <w:numPr>
          <w:ilvl w:val="1"/>
          <w:numId w:val="3"/>
        </w:numPr>
        <w:spacing w:before="120" w:after="120"/>
        <w:jc w:val="both"/>
        <w:rPr>
          <w:rFonts w:asciiTheme="minorHAnsi" w:hAnsiTheme="minorHAnsi" w:cs="Arial"/>
        </w:rPr>
      </w:pPr>
      <w:r w:rsidRPr="003D4F7F">
        <w:rPr>
          <w:rFonts w:asciiTheme="minorHAnsi" w:hAnsiTheme="minorHAnsi" w:cs="Arial"/>
        </w:rPr>
        <w:t xml:space="preserve">Os relatórios sobre a rentabilidade e os riscos das diversas modalidades de operações realizadas nas aplicações dos recursos do RPPS e a aderência à </w:t>
      </w:r>
      <w:r w:rsidR="000D2262">
        <w:rPr>
          <w:rFonts w:asciiTheme="minorHAnsi" w:hAnsiTheme="minorHAnsi" w:cs="Arial"/>
        </w:rPr>
        <w:t>política</w:t>
      </w:r>
      <w:r w:rsidRPr="003D4F7F">
        <w:rPr>
          <w:rFonts w:asciiTheme="minorHAnsi" w:hAnsiTheme="minorHAnsi" w:cs="Arial"/>
        </w:rPr>
        <w:t xml:space="preserve"> anual de investimentos e suas revisões; </w:t>
      </w:r>
    </w:p>
    <w:p w:rsidR="002D2845" w:rsidRPr="003D4F7F" w:rsidRDefault="002D2845" w:rsidP="002D2845">
      <w:pPr>
        <w:spacing w:before="120" w:after="120"/>
        <w:jc w:val="both"/>
        <w:rPr>
          <w:rFonts w:asciiTheme="minorHAnsi" w:hAnsiTheme="minorHAnsi" w:cs="Arial"/>
        </w:rPr>
      </w:pPr>
    </w:p>
    <w:p w:rsidR="002D2845" w:rsidRPr="003D4F7F" w:rsidRDefault="002D2845" w:rsidP="002D2845">
      <w:pPr>
        <w:pStyle w:val="Ttulo"/>
        <w:numPr>
          <w:ilvl w:val="0"/>
          <w:numId w:val="18"/>
        </w:numPr>
        <w:spacing w:before="120" w:after="120"/>
        <w:jc w:val="left"/>
        <w:rPr>
          <w:rFonts w:asciiTheme="minorHAnsi" w:hAnsiTheme="minorHAnsi" w:cs="Arial"/>
          <w:sz w:val="24"/>
          <w:szCs w:val="24"/>
        </w:rPr>
      </w:pPr>
      <w:bookmarkStart w:id="11" w:name="_Toc404173776"/>
      <w:r w:rsidRPr="003D4F7F">
        <w:rPr>
          <w:rFonts w:asciiTheme="minorHAnsi" w:hAnsiTheme="minorHAnsi" w:cs="Arial"/>
          <w:sz w:val="24"/>
          <w:szCs w:val="24"/>
        </w:rPr>
        <w:t>VIGÊNCIA DA POLITICA DE INVESTIMENTOS</w:t>
      </w:r>
      <w:bookmarkEnd w:id="11"/>
    </w:p>
    <w:p w:rsidR="002D2845" w:rsidRPr="003D4F7F" w:rsidRDefault="002D2845" w:rsidP="002D2845">
      <w:pPr>
        <w:pStyle w:val="NormalLatimArial"/>
        <w:spacing w:before="120" w:after="120"/>
        <w:ind w:left="0"/>
        <w:rPr>
          <w:rFonts w:asciiTheme="minorHAnsi" w:hAnsiTheme="minorHAnsi"/>
          <w:sz w:val="24"/>
          <w:szCs w:val="24"/>
        </w:rPr>
      </w:pPr>
      <w:r w:rsidRPr="003D4F7F">
        <w:rPr>
          <w:rFonts w:asciiTheme="minorHAnsi" w:hAnsiTheme="minorHAnsi"/>
          <w:sz w:val="24"/>
          <w:szCs w:val="24"/>
        </w:rPr>
        <w:t xml:space="preserve">Esta política de investimentos estará vigente durante o ano de 2015, porém com diretrizes estabelecidas com foco em horizontes mais curtos. Está submete-se a revisões em períodos inferiores definidos como vigente, sempre que necessário, com o intuito de preservar as condições de segurança, rentabilidade, solvência e liquidez dos investimentos, por conta da conjuntura econômica vigente </w:t>
      </w:r>
    </w:p>
    <w:p w:rsidR="002D2845" w:rsidRPr="003D4F7F" w:rsidRDefault="002D2845" w:rsidP="002D2845">
      <w:pPr>
        <w:pStyle w:val="NormalLatimArial"/>
        <w:spacing w:before="120" w:after="120"/>
        <w:ind w:left="0"/>
        <w:rPr>
          <w:rFonts w:asciiTheme="minorHAnsi" w:hAnsiTheme="minorHAnsi"/>
          <w:sz w:val="24"/>
          <w:szCs w:val="24"/>
        </w:rPr>
      </w:pPr>
    </w:p>
    <w:p w:rsidR="002D2845" w:rsidRPr="003D4F7F" w:rsidRDefault="002D2845" w:rsidP="002D2845">
      <w:pPr>
        <w:pStyle w:val="Ttulo"/>
        <w:numPr>
          <w:ilvl w:val="0"/>
          <w:numId w:val="18"/>
        </w:numPr>
        <w:spacing w:before="120" w:after="120"/>
        <w:jc w:val="left"/>
        <w:rPr>
          <w:rFonts w:asciiTheme="minorHAnsi" w:hAnsiTheme="minorHAnsi" w:cs="Arial"/>
          <w:sz w:val="24"/>
          <w:szCs w:val="24"/>
        </w:rPr>
      </w:pPr>
      <w:bookmarkStart w:id="12" w:name="_Toc219780917"/>
      <w:bookmarkStart w:id="13" w:name="_Toc280352476"/>
      <w:bookmarkStart w:id="14" w:name="_Toc404173777"/>
      <w:r w:rsidRPr="003D4F7F">
        <w:rPr>
          <w:rFonts w:asciiTheme="minorHAnsi" w:hAnsiTheme="minorHAnsi" w:cs="Arial"/>
          <w:sz w:val="24"/>
          <w:szCs w:val="24"/>
        </w:rPr>
        <w:t>ESTRUTURA DA GESTÃO DOS ATIVOS</w:t>
      </w:r>
      <w:bookmarkEnd w:id="12"/>
      <w:bookmarkEnd w:id="13"/>
      <w:bookmarkEnd w:id="14"/>
    </w:p>
    <w:p w:rsidR="002D2845" w:rsidRPr="003D4F7F" w:rsidRDefault="002D2845" w:rsidP="002D2845">
      <w:pPr>
        <w:spacing w:before="120" w:after="120"/>
        <w:jc w:val="both"/>
        <w:rPr>
          <w:rFonts w:asciiTheme="minorHAnsi" w:hAnsiTheme="minorHAnsi" w:cs="Arial"/>
        </w:rPr>
      </w:pPr>
      <w:r w:rsidRPr="003D4F7F">
        <w:rPr>
          <w:rFonts w:asciiTheme="minorHAnsi" w:hAnsiTheme="minorHAnsi" w:cs="Arial"/>
        </w:rPr>
        <w:t>A gestão da carteira de investimentos do Colombo Previdência</w:t>
      </w:r>
      <w:proofErr w:type="gramStart"/>
      <w:r w:rsidRPr="003D4F7F">
        <w:rPr>
          <w:rFonts w:asciiTheme="minorHAnsi" w:hAnsiTheme="minorHAnsi" w:cs="Arial"/>
        </w:rPr>
        <w:t>, será</w:t>
      </w:r>
      <w:proofErr w:type="gramEnd"/>
      <w:r w:rsidRPr="003D4F7F">
        <w:rPr>
          <w:rFonts w:asciiTheme="minorHAnsi" w:hAnsiTheme="minorHAnsi" w:cs="Arial"/>
        </w:rPr>
        <w:t xml:space="preserve"> procedida pela Diretoria Executiva, acompanhado do órgão deliberativo na tomada de decisões quanto aos investimentos e desinvestimentos, assessorado do Comitê de Investimentos que também auxiliará quanto ao Credenciamento.</w:t>
      </w:r>
    </w:p>
    <w:p w:rsidR="002D2845" w:rsidRPr="003D4F7F" w:rsidRDefault="002D2845" w:rsidP="002D2845">
      <w:pPr>
        <w:spacing w:before="120" w:after="120"/>
        <w:jc w:val="both"/>
        <w:rPr>
          <w:rFonts w:asciiTheme="minorHAnsi" w:hAnsiTheme="minorHAnsi" w:cs="Arial"/>
        </w:rPr>
      </w:pPr>
    </w:p>
    <w:p w:rsidR="002D2845" w:rsidRPr="003D4F7F" w:rsidRDefault="002D2845" w:rsidP="002D2845">
      <w:pPr>
        <w:pStyle w:val="Subttulo"/>
        <w:spacing w:before="120" w:after="120"/>
        <w:jc w:val="left"/>
        <w:outlineLvl w:val="9"/>
        <w:rPr>
          <w:rFonts w:asciiTheme="minorHAnsi" w:hAnsiTheme="minorHAnsi" w:cs="Arial"/>
          <w:b/>
        </w:rPr>
      </w:pPr>
      <w:r w:rsidRPr="003D4F7F">
        <w:rPr>
          <w:rFonts w:asciiTheme="minorHAnsi" w:hAnsiTheme="minorHAnsi" w:cs="Arial"/>
          <w:b/>
        </w:rPr>
        <w:t>7.1. COMITÊ DE INVESTIMENTOS</w:t>
      </w:r>
    </w:p>
    <w:p w:rsidR="002D2845" w:rsidRPr="003D4F7F" w:rsidRDefault="002D2845" w:rsidP="002D2845">
      <w:pPr>
        <w:spacing w:before="120" w:after="120"/>
        <w:jc w:val="both"/>
        <w:rPr>
          <w:rFonts w:asciiTheme="minorHAnsi" w:hAnsiTheme="minorHAnsi" w:cs="Arial"/>
        </w:rPr>
      </w:pPr>
      <w:r w:rsidRPr="003D4F7F">
        <w:rPr>
          <w:rFonts w:asciiTheme="minorHAnsi" w:hAnsiTheme="minorHAnsi" w:cs="Arial"/>
          <w:bCs/>
        </w:rPr>
        <w:t>O Comitê de Investimentos através da Portaria MPS n° 170 de 25 de abril de 2012, artigo 3°-A e complementos da Portaria MPS n° 440 de 11 de outubro de 2013, deverão ser constituídos em ato normativo, definindo sua estrutura, composição e funcionamento, atendendo no mínimo:</w:t>
      </w:r>
    </w:p>
    <w:p w:rsidR="002D2845" w:rsidRPr="003D4F7F" w:rsidRDefault="002D2845" w:rsidP="002D2845">
      <w:pPr>
        <w:numPr>
          <w:ilvl w:val="0"/>
          <w:numId w:val="3"/>
        </w:numPr>
        <w:spacing w:before="120" w:after="120"/>
        <w:jc w:val="both"/>
        <w:rPr>
          <w:rFonts w:asciiTheme="minorHAnsi" w:hAnsiTheme="minorHAnsi" w:cs="Arial"/>
        </w:rPr>
      </w:pPr>
      <w:r w:rsidRPr="003D4F7F">
        <w:rPr>
          <w:rFonts w:asciiTheme="minorHAnsi" w:hAnsiTheme="minorHAnsi" w:cs="Arial"/>
          <w:bCs/>
        </w:rPr>
        <w:t>Participar do processo decisório quanto à formulação e execução da Política de Investimentos;</w:t>
      </w:r>
    </w:p>
    <w:p w:rsidR="002D2845" w:rsidRPr="003D4F7F" w:rsidRDefault="002D2845" w:rsidP="002D2845">
      <w:pPr>
        <w:numPr>
          <w:ilvl w:val="0"/>
          <w:numId w:val="3"/>
        </w:numPr>
        <w:spacing w:before="120" w:after="120"/>
        <w:jc w:val="both"/>
        <w:rPr>
          <w:rFonts w:asciiTheme="minorHAnsi" w:hAnsiTheme="minorHAnsi" w:cs="Arial"/>
        </w:rPr>
      </w:pPr>
      <w:r w:rsidRPr="003D4F7F">
        <w:rPr>
          <w:rFonts w:asciiTheme="minorHAnsi" w:hAnsiTheme="minorHAnsi" w:cs="Arial"/>
          <w:bCs/>
        </w:rPr>
        <w:lastRenderedPageBreak/>
        <w:t>Que seus membros mantenham vínculo com o ente federativo ou com o RPPS, na qualidade de servidor titular de cargo efetivo ou de livre nomeação e exoneração;</w:t>
      </w:r>
    </w:p>
    <w:p w:rsidR="002D2845" w:rsidRPr="003D4F7F" w:rsidRDefault="002D2845" w:rsidP="002D2845">
      <w:pPr>
        <w:numPr>
          <w:ilvl w:val="0"/>
          <w:numId w:val="3"/>
        </w:numPr>
        <w:spacing w:before="120" w:after="120"/>
        <w:jc w:val="both"/>
        <w:rPr>
          <w:rFonts w:asciiTheme="minorHAnsi" w:hAnsiTheme="minorHAnsi" w:cs="Arial"/>
        </w:rPr>
      </w:pPr>
      <w:r w:rsidRPr="003D4F7F">
        <w:rPr>
          <w:rFonts w:asciiTheme="minorHAnsi" w:hAnsiTheme="minorHAnsi" w:cs="Arial"/>
          <w:bCs/>
        </w:rPr>
        <w:t>Previsão de periodicidade das reuniões ordinárias e forma de convocação de extraordinárias;</w:t>
      </w:r>
    </w:p>
    <w:p w:rsidR="002D2845" w:rsidRPr="003D4F7F" w:rsidRDefault="002D2845" w:rsidP="002D2845">
      <w:pPr>
        <w:numPr>
          <w:ilvl w:val="0"/>
          <w:numId w:val="3"/>
        </w:numPr>
        <w:spacing w:before="120" w:after="120"/>
        <w:jc w:val="both"/>
        <w:rPr>
          <w:rFonts w:asciiTheme="minorHAnsi" w:hAnsiTheme="minorHAnsi" w:cs="Arial"/>
        </w:rPr>
      </w:pPr>
      <w:r w:rsidRPr="003D4F7F">
        <w:rPr>
          <w:rFonts w:asciiTheme="minorHAnsi" w:hAnsiTheme="minorHAnsi" w:cs="Arial"/>
          <w:bCs/>
        </w:rPr>
        <w:t>Exigência de as deliberações e decisões serem registradas em ata e</w:t>
      </w:r>
    </w:p>
    <w:p w:rsidR="002D2845" w:rsidRPr="00A252CB" w:rsidRDefault="002D2845" w:rsidP="002D2845">
      <w:pPr>
        <w:numPr>
          <w:ilvl w:val="0"/>
          <w:numId w:val="3"/>
        </w:numPr>
        <w:spacing w:before="120" w:after="120"/>
        <w:jc w:val="both"/>
        <w:rPr>
          <w:rFonts w:asciiTheme="minorHAnsi" w:hAnsiTheme="minorHAnsi" w:cs="Arial"/>
        </w:rPr>
      </w:pPr>
      <w:r w:rsidRPr="003D4F7F">
        <w:rPr>
          <w:rFonts w:asciiTheme="minorHAnsi" w:hAnsiTheme="minorHAnsi" w:cs="Arial"/>
          <w:bCs/>
        </w:rPr>
        <w:t>Previsão de composição e f</w:t>
      </w:r>
      <w:r w:rsidRPr="00A252CB">
        <w:rPr>
          <w:rFonts w:asciiTheme="minorHAnsi" w:hAnsiTheme="minorHAnsi" w:cs="Arial"/>
          <w:bCs/>
        </w:rPr>
        <w:t>orma de representatividade, sendo exigível a certificação, para a maioria dos seus membros.</w:t>
      </w:r>
    </w:p>
    <w:p w:rsidR="002D2845" w:rsidRPr="003D4F7F" w:rsidRDefault="002D2845" w:rsidP="002D2845">
      <w:pPr>
        <w:spacing w:before="120" w:after="120"/>
        <w:ind w:firstLine="709"/>
        <w:jc w:val="both"/>
        <w:rPr>
          <w:rFonts w:asciiTheme="minorHAnsi" w:hAnsiTheme="minorHAnsi" w:cs="Arial"/>
        </w:rPr>
      </w:pPr>
      <w:r w:rsidRPr="00A252CB">
        <w:rPr>
          <w:rFonts w:asciiTheme="minorHAnsi" w:hAnsiTheme="minorHAnsi" w:cs="Arial"/>
          <w:bCs/>
        </w:rPr>
        <w:t xml:space="preserve">A </w:t>
      </w:r>
      <w:r w:rsidRPr="00A252CB">
        <w:rPr>
          <w:rFonts w:asciiTheme="minorHAnsi" w:hAnsiTheme="minorHAnsi" w:cs="Arial"/>
          <w:bCs/>
          <w:highlight w:val="yellow"/>
        </w:rPr>
        <w:t>(LEI/RESOLUÇÃO/PORTARIA)n° _____</w:t>
      </w:r>
      <w:r w:rsidRPr="00A252CB">
        <w:rPr>
          <w:rFonts w:asciiTheme="minorHAnsi" w:hAnsiTheme="minorHAnsi" w:cs="Arial"/>
          <w:bCs/>
        </w:rPr>
        <w:t xml:space="preserve"> de constituição do Comitê de </w:t>
      </w:r>
      <w:r w:rsidRPr="003D4F7F">
        <w:rPr>
          <w:rFonts w:asciiTheme="minorHAnsi" w:hAnsiTheme="minorHAnsi" w:cs="Arial"/>
          <w:bCs/>
        </w:rPr>
        <w:t xml:space="preserve">Investimentos do </w:t>
      </w:r>
      <w:r w:rsidRPr="003D4F7F">
        <w:rPr>
          <w:rFonts w:asciiTheme="minorHAnsi" w:hAnsiTheme="minorHAnsi" w:cs="Arial"/>
        </w:rPr>
        <w:t>Colombo Previdência está disponível para aos segurados, pensionistas e demais interessados.</w:t>
      </w:r>
    </w:p>
    <w:p w:rsidR="002D2845" w:rsidRPr="003D4F7F" w:rsidRDefault="002D2845" w:rsidP="002D2845">
      <w:pPr>
        <w:spacing w:before="120" w:after="120"/>
        <w:ind w:firstLine="709"/>
        <w:jc w:val="both"/>
        <w:rPr>
          <w:rFonts w:asciiTheme="minorHAnsi" w:hAnsiTheme="minorHAnsi" w:cs="Arial"/>
          <w:bCs/>
        </w:rPr>
      </w:pPr>
    </w:p>
    <w:p w:rsidR="002D2845" w:rsidRPr="003D4F7F" w:rsidRDefault="002D2845" w:rsidP="002D2845">
      <w:pPr>
        <w:pStyle w:val="Subttulo"/>
        <w:spacing w:before="120" w:after="120"/>
        <w:jc w:val="left"/>
        <w:outlineLvl w:val="9"/>
        <w:rPr>
          <w:rFonts w:asciiTheme="minorHAnsi" w:hAnsiTheme="minorHAnsi" w:cs="Arial"/>
          <w:b/>
        </w:rPr>
      </w:pPr>
      <w:r w:rsidRPr="003D4F7F">
        <w:rPr>
          <w:rFonts w:asciiTheme="minorHAnsi" w:hAnsiTheme="minorHAnsi" w:cs="Arial"/>
          <w:b/>
        </w:rPr>
        <w:t>7.2. CONTRATAÇÃO DE CONSULTORIA</w:t>
      </w:r>
    </w:p>
    <w:p w:rsidR="002D2845" w:rsidRPr="003D4F7F" w:rsidRDefault="002D2845" w:rsidP="002D2845">
      <w:pPr>
        <w:spacing w:before="120" w:after="120"/>
        <w:jc w:val="both"/>
        <w:rPr>
          <w:rFonts w:asciiTheme="minorHAnsi" w:hAnsiTheme="minorHAnsi" w:cs="Arial"/>
        </w:rPr>
      </w:pPr>
      <w:r w:rsidRPr="003D4F7F">
        <w:rPr>
          <w:rFonts w:asciiTheme="minorHAnsi" w:hAnsiTheme="minorHAnsi" w:cs="Arial"/>
        </w:rPr>
        <w:t>Na seleção, acompanhamento e avaliação do desempenho de ativos</w:t>
      </w:r>
      <w:r w:rsidR="000D2262">
        <w:rPr>
          <w:rFonts w:asciiTheme="minorHAnsi" w:hAnsiTheme="minorHAnsi" w:cs="Arial"/>
        </w:rPr>
        <w:t xml:space="preserve"> </w:t>
      </w:r>
      <w:r w:rsidRPr="003D4F7F">
        <w:rPr>
          <w:rFonts w:asciiTheme="minorHAnsi" w:hAnsiTheme="minorHAnsi" w:cs="Arial"/>
        </w:rPr>
        <w:t>e de</w:t>
      </w:r>
      <w:r w:rsidR="000D2262">
        <w:rPr>
          <w:rFonts w:asciiTheme="minorHAnsi" w:hAnsiTheme="minorHAnsi" w:cs="Arial"/>
        </w:rPr>
        <w:t xml:space="preserve"> </w:t>
      </w:r>
      <w:r w:rsidRPr="003D4F7F">
        <w:rPr>
          <w:rFonts w:asciiTheme="minorHAnsi" w:hAnsiTheme="minorHAnsi" w:cs="Arial"/>
        </w:rPr>
        <w:t>produtos de investimento, os gestores do</w:t>
      </w:r>
      <w:r w:rsidR="000D2262">
        <w:rPr>
          <w:rFonts w:asciiTheme="minorHAnsi" w:hAnsiTheme="minorHAnsi" w:cs="Arial"/>
        </w:rPr>
        <w:t xml:space="preserve"> </w:t>
      </w:r>
      <w:r w:rsidRPr="003D4F7F">
        <w:rPr>
          <w:rFonts w:asciiTheme="minorHAnsi" w:hAnsiTheme="minorHAnsi" w:cs="Arial"/>
        </w:rPr>
        <w:t xml:space="preserve">Colombo Previdência, serão auxiliados por Consultoria de Valores Mobiliários, especialmente contratada para esta </w:t>
      </w:r>
      <w:proofErr w:type="gramStart"/>
      <w:r w:rsidRPr="003D4F7F">
        <w:rPr>
          <w:rFonts w:asciiTheme="minorHAnsi" w:hAnsiTheme="minorHAnsi" w:cs="Arial"/>
        </w:rPr>
        <w:t>finalidade,</w:t>
      </w:r>
      <w:proofErr w:type="gramEnd"/>
      <w:r w:rsidRPr="003D4F7F">
        <w:rPr>
          <w:rFonts w:asciiTheme="minorHAnsi" w:hAnsiTheme="minorHAnsi" w:cs="Arial"/>
        </w:rPr>
        <w:t>que</w:t>
      </w:r>
      <w:r w:rsidR="000D2262">
        <w:rPr>
          <w:rFonts w:asciiTheme="minorHAnsi" w:hAnsiTheme="minorHAnsi" w:cs="Arial"/>
        </w:rPr>
        <w:t xml:space="preserve"> </w:t>
      </w:r>
      <w:r w:rsidRPr="003D4F7F">
        <w:rPr>
          <w:rFonts w:asciiTheme="minorHAnsi" w:hAnsiTheme="minorHAnsi" w:cs="Arial"/>
        </w:rPr>
        <w:t>elaborará relatórios trimestrais para avaliação do desempenho da carteira e dos veículos de investimentos do Instituto.</w:t>
      </w:r>
    </w:p>
    <w:p w:rsidR="002D2845" w:rsidRPr="003D4F7F" w:rsidRDefault="002D2845" w:rsidP="002D2845">
      <w:pPr>
        <w:spacing w:before="120" w:after="120"/>
        <w:jc w:val="both"/>
        <w:rPr>
          <w:rFonts w:asciiTheme="minorHAnsi" w:hAnsiTheme="minorHAnsi" w:cs="Arial"/>
        </w:rPr>
      </w:pPr>
      <w:r w:rsidRPr="003D4F7F">
        <w:rPr>
          <w:rFonts w:asciiTheme="minorHAnsi" w:hAnsiTheme="minorHAnsi" w:cs="Arial"/>
        </w:rPr>
        <w:t>A mencionada consultoria deverá ser registrada na CVM (Comissão de Valores Mobiliários) e autorizada pelo CORECON (Conselho Regional de Economia) para o exercício da atividade.</w:t>
      </w:r>
    </w:p>
    <w:p w:rsidR="002D2845" w:rsidRPr="003D4F7F" w:rsidRDefault="002D2845" w:rsidP="002D2845">
      <w:pPr>
        <w:spacing w:before="120" w:after="120"/>
        <w:jc w:val="both"/>
        <w:rPr>
          <w:rFonts w:asciiTheme="minorHAnsi" w:hAnsiTheme="minorHAnsi" w:cs="Arial"/>
        </w:rPr>
      </w:pPr>
    </w:p>
    <w:p w:rsidR="002D2845" w:rsidRPr="003D4F7F" w:rsidRDefault="002D2845" w:rsidP="002D2845">
      <w:pPr>
        <w:pStyle w:val="Subttulo"/>
        <w:spacing w:before="120" w:after="120"/>
        <w:jc w:val="left"/>
        <w:outlineLvl w:val="9"/>
        <w:rPr>
          <w:rFonts w:asciiTheme="minorHAnsi" w:hAnsiTheme="minorHAnsi" w:cs="Arial"/>
          <w:b/>
        </w:rPr>
      </w:pPr>
      <w:bookmarkStart w:id="15" w:name="_Toc219780919"/>
      <w:r w:rsidRPr="003D4F7F">
        <w:rPr>
          <w:rFonts w:asciiTheme="minorHAnsi" w:hAnsiTheme="minorHAnsi" w:cs="Arial"/>
          <w:b/>
        </w:rPr>
        <w:t>7.3. ADMINISTRADORES DE FUNDOS DE INVESTIMENTOS</w:t>
      </w:r>
    </w:p>
    <w:p w:rsidR="002D2845" w:rsidRPr="003D4F7F" w:rsidRDefault="002D2845" w:rsidP="002D2845">
      <w:pPr>
        <w:spacing w:before="120" w:after="120"/>
        <w:jc w:val="both"/>
        <w:rPr>
          <w:rFonts w:asciiTheme="minorHAnsi" w:hAnsiTheme="minorHAnsi" w:cs="Arial"/>
          <w:b/>
        </w:rPr>
      </w:pPr>
      <w:r w:rsidRPr="003D4F7F">
        <w:rPr>
          <w:rFonts w:asciiTheme="minorHAnsi" w:hAnsiTheme="minorHAnsi" w:cs="Arial"/>
        </w:rPr>
        <w:t>De acordo com a Resolução 3.922 do CMN, a única classe de ativos passível de aquisição direta pelos RPPS é a representada pelos títulos públicos de emissão do Tesouro Nacional, registrados no Sistema Especial de Liquidação e Custódia (SELIC). Além dos depósitos de poupança em instituições financeiras de baixo risco de crédito, a alternativa possível de investimento dos RPPS é através de fundos de investimento de diferentes classes de ativos, rendimentos e riscos.</w:t>
      </w:r>
    </w:p>
    <w:p w:rsidR="002D2845" w:rsidRPr="003D4F7F" w:rsidRDefault="002D2845" w:rsidP="002D2845">
      <w:pPr>
        <w:spacing w:before="120" w:after="120"/>
        <w:jc w:val="both"/>
        <w:rPr>
          <w:rFonts w:asciiTheme="minorHAnsi" w:hAnsiTheme="minorHAnsi" w:cs="Arial"/>
          <w:b/>
        </w:rPr>
      </w:pPr>
      <w:r w:rsidRPr="003D4F7F">
        <w:rPr>
          <w:rFonts w:asciiTheme="minorHAnsi" w:hAnsiTheme="minorHAnsi" w:cs="Arial"/>
        </w:rPr>
        <w:t xml:space="preserve">Ao cadastrar e selecionar os administradores, gestores e </w:t>
      </w:r>
      <w:r w:rsidR="000D2262" w:rsidRPr="003D4F7F">
        <w:rPr>
          <w:rFonts w:asciiTheme="minorHAnsi" w:hAnsiTheme="minorHAnsi" w:cs="Arial"/>
        </w:rPr>
        <w:t>conseqüentemente</w:t>
      </w:r>
      <w:r w:rsidRPr="003D4F7F">
        <w:rPr>
          <w:rFonts w:asciiTheme="minorHAnsi" w:hAnsiTheme="minorHAnsi" w:cs="Arial"/>
        </w:rPr>
        <w:t xml:space="preserve"> os fundos de investimento adequados aos RPPS, o Colombo Previdência</w:t>
      </w:r>
      <w:r w:rsidR="000D2262">
        <w:rPr>
          <w:rFonts w:asciiTheme="minorHAnsi" w:hAnsiTheme="minorHAnsi" w:cs="Arial"/>
        </w:rPr>
        <w:t xml:space="preserve"> </w:t>
      </w:r>
      <w:r w:rsidRPr="003D4F7F">
        <w:rPr>
          <w:rFonts w:asciiTheme="minorHAnsi" w:hAnsiTheme="minorHAnsi" w:cs="Arial"/>
        </w:rPr>
        <w:t>estará tendo acesso a produtos que possibilitam a diversificação dos seus recursos financeiros, através de estruturas competentes na análise e seleção de ativos e produtos de renda fixa e variável, na avaliação dos riscos de crédito e de mercado envolvidos e na construção de cenários macroeconômicos. Não há limite para a quantidade de administradores e gestores a serem cadastrados e selecionados.</w:t>
      </w:r>
    </w:p>
    <w:p w:rsidR="002D2845" w:rsidRPr="003D4F7F" w:rsidRDefault="002D2845" w:rsidP="002D2845">
      <w:pPr>
        <w:spacing w:before="120" w:after="120"/>
        <w:jc w:val="both"/>
        <w:rPr>
          <w:rFonts w:asciiTheme="minorHAnsi" w:hAnsiTheme="minorHAnsi" w:cs="Arial"/>
        </w:rPr>
      </w:pPr>
      <w:r w:rsidRPr="003D4F7F">
        <w:rPr>
          <w:rFonts w:asciiTheme="minorHAnsi" w:hAnsiTheme="minorHAnsi" w:cs="Arial"/>
        </w:rPr>
        <w:t>Conforme a Instrução CVM nº 409 de 18/08/2004, a administração de fundo de investimento compreende o conjunto de serviços relacionados direta ou indiretamente ao funcionamento e à manutenção do fundo, que podem ser prestados pelo próprio administrador ou por terceiros por ele contratados por escrito,</w:t>
      </w:r>
      <w:r w:rsidR="000D2262">
        <w:rPr>
          <w:rFonts w:asciiTheme="minorHAnsi" w:hAnsiTheme="minorHAnsi" w:cs="Arial"/>
        </w:rPr>
        <w:t xml:space="preserve"> </w:t>
      </w:r>
      <w:r w:rsidRPr="003D4F7F">
        <w:rPr>
          <w:rFonts w:asciiTheme="minorHAnsi" w:hAnsiTheme="minorHAnsi" w:cs="Arial"/>
        </w:rPr>
        <w:t>em nome do fundo.</w:t>
      </w:r>
    </w:p>
    <w:p w:rsidR="002D2845" w:rsidRPr="003D4F7F" w:rsidRDefault="002D2845" w:rsidP="002D2845">
      <w:pPr>
        <w:spacing w:before="120" w:after="120"/>
        <w:jc w:val="both"/>
        <w:rPr>
          <w:rFonts w:asciiTheme="minorHAnsi" w:hAnsiTheme="minorHAnsi" w:cs="Arial"/>
        </w:rPr>
      </w:pPr>
      <w:r w:rsidRPr="003D4F7F">
        <w:rPr>
          <w:rFonts w:asciiTheme="minorHAnsi" w:hAnsiTheme="minorHAnsi" w:cs="Arial"/>
        </w:rPr>
        <w:lastRenderedPageBreak/>
        <w:t>Além do serviço obrigatório de auditoria independente, o administrador poderá contratar, em nome do fundo, os seguintes serviços, com a exclusão de quaisquer outros não listados:</w:t>
      </w:r>
    </w:p>
    <w:p w:rsidR="002D2845" w:rsidRPr="003D4F7F" w:rsidRDefault="002D2845" w:rsidP="002D2845">
      <w:pPr>
        <w:numPr>
          <w:ilvl w:val="0"/>
          <w:numId w:val="4"/>
        </w:numPr>
        <w:spacing w:before="120" w:after="120"/>
        <w:jc w:val="both"/>
        <w:rPr>
          <w:rFonts w:asciiTheme="minorHAnsi" w:hAnsiTheme="minorHAnsi" w:cs="Arial"/>
        </w:rPr>
      </w:pPr>
      <w:r w:rsidRPr="003D4F7F">
        <w:rPr>
          <w:rFonts w:asciiTheme="minorHAnsi" w:hAnsiTheme="minorHAnsi" w:cs="Arial"/>
        </w:rPr>
        <w:t>A</w:t>
      </w:r>
      <w:r w:rsidR="000D2262">
        <w:rPr>
          <w:rFonts w:asciiTheme="minorHAnsi" w:hAnsiTheme="minorHAnsi" w:cs="Arial"/>
        </w:rPr>
        <w:t xml:space="preserve"> </w:t>
      </w:r>
      <w:r w:rsidRPr="003D4F7F">
        <w:rPr>
          <w:rFonts w:asciiTheme="minorHAnsi" w:hAnsiTheme="minorHAnsi" w:cs="Arial"/>
        </w:rPr>
        <w:t>gestão da carteira do fundo;</w:t>
      </w:r>
    </w:p>
    <w:p w:rsidR="002D2845" w:rsidRPr="003D4F7F" w:rsidRDefault="002D2845" w:rsidP="002D2845">
      <w:pPr>
        <w:numPr>
          <w:ilvl w:val="0"/>
          <w:numId w:val="4"/>
        </w:numPr>
        <w:spacing w:before="120" w:after="120"/>
        <w:jc w:val="both"/>
        <w:rPr>
          <w:rFonts w:asciiTheme="minorHAnsi" w:hAnsiTheme="minorHAnsi" w:cs="Arial"/>
        </w:rPr>
      </w:pPr>
      <w:r w:rsidRPr="003D4F7F">
        <w:rPr>
          <w:rFonts w:asciiTheme="minorHAnsi" w:hAnsiTheme="minorHAnsi" w:cs="Arial"/>
        </w:rPr>
        <w:t>A consultoria de investimentos;</w:t>
      </w:r>
    </w:p>
    <w:p w:rsidR="002D2845" w:rsidRPr="003D4F7F" w:rsidRDefault="002D2845" w:rsidP="002D2845">
      <w:pPr>
        <w:numPr>
          <w:ilvl w:val="0"/>
          <w:numId w:val="4"/>
        </w:numPr>
        <w:spacing w:before="120" w:after="120"/>
        <w:jc w:val="both"/>
        <w:rPr>
          <w:rFonts w:asciiTheme="minorHAnsi" w:hAnsiTheme="minorHAnsi" w:cs="Arial"/>
        </w:rPr>
      </w:pPr>
      <w:r w:rsidRPr="003D4F7F">
        <w:rPr>
          <w:rFonts w:asciiTheme="minorHAnsi" w:hAnsiTheme="minorHAnsi" w:cs="Arial"/>
        </w:rPr>
        <w:t>As atividades de tesouraria, de controle e processamento dos títulos e</w:t>
      </w:r>
      <w:r w:rsidR="000D2262">
        <w:rPr>
          <w:rFonts w:asciiTheme="minorHAnsi" w:hAnsiTheme="minorHAnsi" w:cs="Arial"/>
        </w:rPr>
        <w:t xml:space="preserve"> </w:t>
      </w:r>
      <w:r w:rsidRPr="003D4F7F">
        <w:rPr>
          <w:rFonts w:asciiTheme="minorHAnsi" w:hAnsiTheme="minorHAnsi" w:cs="Arial"/>
        </w:rPr>
        <w:t>valores mobiliários;</w:t>
      </w:r>
    </w:p>
    <w:p w:rsidR="002D2845" w:rsidRPr="003D4F7F" w:rsidRDefault="002D2845" w:rsidP="002D2845">
      <w:pPr>
        <w:numPr>
          <w:ilvl w:val="0"/>
          <w:numId w:val="4"/>
        </w:numPr>
        <w:spacing w:before="120" w:after="120"/>
        <w:jc w:val="both"/>
        <w:rPr>
          <w:rFonts w:asciiTheme="minorHAnsi" w:hAnsiTheme="minorHAnsi" w:cs="Arial"/>
        </w:rPr>
      </w:pPr>
      <w:r w:rsidRPr="003D4F7F">
        <w:rPr>
          <w:rFonts w:asciiTheme="minorHAnsi" w:hAnsiTheme="minorHAnsi" w:cs="Arial"/>
        </w:rPr>
        <w:t>A distribuição de cotas;</w:t>
      </w:r>
    </w:p>
    <w:p w:rsidR="002D2845" w:rsidRPr="003D4F7F" w:rsidRDefault="002D2845" w:rsidP="002D2845">
      <w:pPr>
        <w:numPr>
          <w:ilvl w:val="0"/>
          <w:numId w:val="4"/>
        </w:numPr>
        <w:spacing w:before="120" w:after="120"/>
        <w:jc w:val="both"/>
        <w:rPr>
          <w:rFonts w:asciiTheme="minorHAnsi" w:hAnsiTheme="minorHAnsi" w:cs="Arial"/>
        </w:rPr>
      </w:pPr>
      <w:r w:rsidRPr="003D4F7F">
        <w:rPr>
          <w:rFonts w:asciiTheme="minorHAnsi" w:hAnsiTheme="minorHAnsi" w:cs="Arial"/>
        </w:rPr>
        <w:t>A escrituração da emissão e resgate de cotas;</w:t>
      </w:r>
    </w:p>
    <w:p w:rsidR="002D2845" w:rsidRPr="003D4F7F" w:rsidRDefault="002D2845" w:rsidP="002D2845">
      <w:pPr>
        <w:numPr>
          <w:ilvl w:val="0"/>
          <w:numId w:val="4"/>
        </w:numPr>
        <w:spacing w:before="120" w:after="120"/>
        <w:jc w:val="both"/>
        <w:rPr>
          <w:rFonts w:asciiTheme="minorHAnsi" w:hAnsiTheme="minorHAnsi" w:cs="Arial"/>
        </w:rPr>
      </w:pPr>
      <w:r w:rsidRPr="003D4F7F">
        <w:rPr>
          <w:rFonts w:asciiTheme="minorHAnsi" w:hAnsiTheme="minorHAnsi" w:cs="Arial"/>
        </w:rPr>
        <w:t>A custódia de títulos e valores mobiliários e demais ativos financeiros; e</w:t>
      </w:r>
    </w:p>
    <w:p w:rsidR="002D2845" w:rsidRPr="003D4F7F" w:rsidRDefault="002D2845" w:rsidP="002D2845">
      <w:pPr>
        <w:numPr>
          <w:ilvl w:val="0"/>
          <w:numId w:val="4"/>
        </w:numPr>
        <w:spacing w:before="120" w:after="120"/>
        <w:jc w:val="both"/>
        <w:rPr>
          <w:rFonts w:asciiTheme="minorHAnsi" w:hAnsiTheme="minorHAnsi" w:cs="Arial"/>
        </w:rPr>
      </w:pPr>
      <w:r w:rsidRPr="003D4F7F">
        <w:rPr>
          <w:rFonts w:asciiTheme="minorHAnsi" w:hAnsiTheme="minorHAnsi" w:cs="Arial"/>
        </w:rPr>
        <w:t>A classificação de risco por agência especializada constituída no país.</w:t>
      </w:r>
    </w:p>
    <w:p w:rsidR="002D2845" w:rsidRPr="003D4F7F" w:rsidRDefault="002D2845" w:rsidP="002D2845">
      <w:pPr>
        <w:spacing w:before="120" w:after="120"/>
        <w:jc w:val="both"/>
        <w:rPr>
          <w:rFonts w:asciiTheme="minorHAnsi" w:hAnsiTheme="minorHAnsi" w:cs="Arial"/>
        </w:rPr>
      </w:pPr>
      <w:r w:rsidRPr="003D4F7F">
        <w:rPr>
          <w:rFonts w:asciiTheme="minorHAnsi" w:hAnsiTheme="minorHAnsi" w:cs="Arial"/>
        </w:rPr>
        <w:t>Os contratos firmados referentes aos serviços previstos nos itens a, c, e, bem como o g deverão conter cláusula que estipule a responsabilidade solidária entre o administrador do fundo e os terceiros contratados pelo fundo, por eventuais prejuízos causados aos cotistas em virtude das condutas contrárias à lei, ao regulamento e aos atos normativos expedidos pela CVM.</w:t>
      </w:r>
    </w:p>
    <w:p w:rsidR="002D2845" w:rsidRPr="003D4F7F" w:rsidRDefault="002D2845" w:rsidP="002D2845">
      <w:pPr>
        <w:spacing w:before="120" w:after="120"/>
        <w:jc w:val="both"/>
        <w:rPr>
          <w:rFonts w:asciiTheme="minorHAnsi" w:hAnsiTheme="minorHAnsi" w:cs="Arial"/>
        </w:rPr>
      </w:pPr>
      <w:r w:rsidRPr="003D4F7F">
        <w:rPr>
          <w:rFonts w:asciiTheme="minorHAnsi" w:hAnsiTheme="minorHAnsi" w:cs="Arial"/>
        </w:rPr>
        <w:t>Independentemente da responsabilidade solidária acima referida, o administrador responde por prejuízos decorrentes de atos e omissões próprios a que der causa, sempre que agir de forma contrária à lei, ao regulamento do fundo e aos atos normativos expedidos pela CVM.</w:t>
      </w:r>
    </w:p>
    <w:p w:rsidR="002D2845" w:rsidRPr="003D4F7F" w:rsidRDefault="002D2845" w:rsidP="002D2845">
      <w:pPr>
        <w:spacing w:before="120" w:after="120"/>
        <w:jc w:val="both"/>
        <w:rPr>
          <w:rFonts w:asciiTheme="minorHAnsi" w:hAnsiTheme="minorHAnsi" w:cs="Arial"/>
        </w:rPr>
      </w:pPr>
      <w:r w:rsidRPr="003D4F7F">
        <w:rPr>
          <w:rFonts w:asciiTheme="minorHAnsi" w:hAnsiTheme="minorHAnsi" w:cs="Arial"/>
        </w:rPr>
        <w:t>Caso o administrador não seja credenciado pela CVM como prestador de serviço de custódia de valores mobiliários, o fundo deve contratar instituição credenciada para esta atividade.</w:t>
      </w:r>
      <w:bookmarkStart w:id="16" w:name="_Toc280352479"/>
    </w:p>
    <w:p w:rsidR="002D2845" w:rsidRPr="003D4F7F" w:rsidRDefault="002D2845" w:rsidP="002D2845">
      <w:pPr>
        <w:spacing w:before="120" w:after="120"/>
        <w:jc w:val="both"/>
        <w:rPr>
          <w:rFonts w:asciiTheme="minorHAnsi" w:hAnsiTheme="minorHAnsi" w:cs="Arial"/>
        </w:rPr>
      </w:pPr>
    </w:p>
    <w:p w:rsidR="002D2845" w:rsidRPr="003D4F7F" w:rsidRDefault="002D2845" w:rsidP="002D2845">
      <w:pPr>
        <w:pStyle w:val="Subttulo"/>
        <w:spacing w:before="120" w:after="120"/>
        <w:jc w:val="left"/>
        <w:outlineLvl w:val="9"/>
        <w:rPr>
          <w:rFonts w:asciiTheme="minorHAnsi" w:hAnsiTheme="minorHAnsi" w:cs="Arial"/>
          <w:b/>
        </w:rPr>
      </w:pPr>
      <w:r w:rsidRPr="003D4F7F">
        <w:rPr>
          <w:rFonts w:asciiTheme="minorHAnsi" w:hAnsiTheme="minorHAnsi" w:cs="Arial"/>
          <w:b/>
        </w:rPr>
        <w:t>7.4. GESTORES DE FUNDOS DE INVESTIMENTOS</w:t>
      </w:r>
      <w:bookmarkEnd w:id="15"/>
      <w:bookmarkEnd w:id="16"/>
    </w:p>
    <w:p w:rsidR="002D2845" w:rsidRPr="003D4F7F" w:rsidRDefault="002D2845" w:rsidP="002D2845">
      <w:pPr>
        <w:spacing w:before="120" w:after="120"/>
        <w:jc w:val="both"/>
        <w:rPr>
          <w:rFonts w:asciiTheme="minorHAnsi" w:hAnsiTheme="minorHAnsi" w:cs="Arial"/>
        </w:rPr>
      </w:pPr>
      <w:r w:rsidRPr="003D4F7F">
        <w:rPr>
          <w:rFonts w:asciiTheme="minorHAnsi" w:hAnsiTheme="minorHAnsi" w:cs="Arial"/>
        </w:rPr>
        <w:t xml:space="preserve">A gestão da carteira de fundo de investimento é a gestão profissional, conforme estabelecido no seu regulamento, dos títulos e valores mobiliários dela integrantes, desempenhada por pessoa natural ou jurídica credenciada como administradora de carteira de valores mobiliários pela CVM, tendo o gestor poderes para negociar, em nome do fundo de investimento, os referidos títulos e valores mobiliários. </w:t>
      </w:r>
    </w:p>
    <w:p w:rsidR="002D2845" w:rsidRPr="003D4F7F" w:rsidRDefault="002D2845" w:rsidP="002D2845">
      <w:pPr>
        <w:spacing w:before="120" w:after="120"/>
        <w:jc w:val="both"/>
        <w:rPr>
          <w:rFonts w:asciiTheme="minorHAnsi" w:hAnsiTheme="minorHAnsi" w:cs="Arial"/>
        </w:rPr>
      </w:pPr>
      <w:r w:rsidRPr="003D4F7F">
        <w:rPr>
          <w:rFonts w:asciiTheme="minorHAnsi" w:hAnsiTheme="minorHAnsi" w:cs="Arial"/>
        </w:rPr>
        <w:t>Na avaliação periódica</w:t>
      </w:r>
      <w:r w:rsidR="000D2262">
        <w:rPr>
          <w:rFonts w:asciiTheme="minorHAnsi" w:hAnsiTheme="minorHAnsi" w:cs="Arial"/>
        </w:rPr>
        <w:t xml:space="preserve"> </w:t>
      </w:r>
      <w:r w:rsidRPr="003D4F7F">
        <w:rPr>
          <w:rFonts w:asciiTheme="minorHAnsi" w:hAnsiTheme="minorHAnsi" w:cs="Arial"/>
        </w:rPr>
        <w:t>de gestores de fundos de investimento, além</w:t>
      </w:r>
      <w:r w:rsidR="000D2262">
        <w:rPr>
          <w:rFonts w:asciiTheme="minorHAnsi" w:hAnsiTheme="minorHAnsi" w:cs="Arial"/>
        </w:rPr>
        <w:t xml:space="preserve"> </w:t>
      </w:r>
      <w:r w:rsidRPr="003D4F7F">
        <w:rPr>
          <w:rFonts w:asciiTheme="minorHAnsi" w:hAnsiTheme="minorHAnsi" w:cs="Arial"/>
        </w:rPr>
        <w:t>do desempenho dos produtos geridos, serão também consideradas:</w:t>
      </w:r>
    </w:p>
    <w:p w:rsidR="002D2845" w:rsidRPr="003D4F7F" w:rsidRDefault="002D2845" w:rsidP="002D2845">
      <w:pPr>
        <w:numPr>
          <w:ilvl w:val="0"/>
          <w:numId w:val="5"/>
        </w:numPr>
        <w:spacing w:before="120" w:after="120"/>
        <w:jc w:val="both"/>
        <w:rPr>
          <w:rFonts w:asciiTheme="minorHAnsi" w:hAnsiTheme="minorHAnsi" w:cs="Arial"/>
        </w:rPr>
      </w:pPr>
      <w:r w:rsidRPr="003D4F7F">
        <w:rPr>
          <w:rFonts w:asciiTheme="minorHAnsi" w:hAnsiTheme="minorHAnsi" w:cs="Arial"/>
        </w:rPr>
        <w:t>A transparência no processo de gestão dos produtos;</w:t>
      </w:r>
    </w:p>
    <w:p w:rsidR="002D2845" w:rsidRPr="003D4F7F" w:rsidRDefault="002D2845" w:rsidP="002D2845">
      <w:pPr>
        <w:numPr>
          <w:ilvl w:val="0"/>
          <w:numId w:val="5"/>
        </w:numPr>
        <w:spacing w:before="120" w:after="120"/>
        <w:jc w:val="both"/>
        <w:rPr>
          <w:rFonts w:asciiTheme="minorHAnsi" w:hAnsiTheme="minorHAnsi" w:cs="Arial"/>
        </w:rPr>
      </w:pPr>
      <w:r w:rsidRPr="003D4F7F">
        <w:rPr>
          <w:rFonts w:asciiTheme="minorHAnsi" w:hAnsiTheme="minorHAnsi" w:cs="Arial"/>
        </w:rPr>
        <w:t>A existência de estrutura de gestão segregada de outras áreas da instituição com atividades conflitantes (</w:t>
      </w:r>
      <w:proofErr w:type="spellStart"/>
      <w:r w:rsidRPr="003D4F7F">
        <w:rPr>
          <w:rFonts w:asciiTheme="minorHAnsi" w:hAnsiTheme="minorHAnsi" w:cs="Arial"/>
          <w:i/>
        </w:rPr>
        <w:t>chineseshall</w:t>
      </w:r>
      <w:proofErr w:type="spellEnd"/>
      <w:r w:rsidRPr="003D4F7F">
        <w:rPr>
          <w:rFonts w:asciiTheme="minorHAnsi" w:hAnsiTheme="minorHAnsi" w:cs="Arial"/>
        </w:rPr>
        <w:t>);</w:t>
      </w:r>
    </w:p>
    <w:p w:rsidR="002D2845" w:rsidRPr="003D4F7F" w:rsidRDefault="002D2845" w:rsidP="002D2845">
      <w:pPr>
        <w:numPr>
          <w:ilvl w:val="0"/>
          <w:numId w:val="5"/>
        </w:numPr>
        <w:spacing w:before="120" w:after="120"/>
        <w:jc w:val="both"/>
        <w:rPr>
          <w:rFonts w:asciiTheme="minorHAnsi" w:hAnsiTheme="minorHAnsi" w:cs="Arial"/>
        </w:rPr>
      </w:pPr>
      <w:r w:rsidRPr="003D4F7F">
        <w:rPr>
          <w:rFonts w:asciiTheme="minorHAnsi" w:hAnsiTheme="minorHAnsi" w:cs="Arial"/>
        </w:rPr>
        <w:t>A consistência na atividade de gestão de produtos de investimento, de acordo com o regulamento definido para cada produto;</w:t>
      </w:r>
    </w:p>
    <w:p w:rsidR="002D2845" w:rsidRPr="003D4F7F" w:rsidRDefault="002D2845" w:rsidP="002D2845">
      <w:pPr>
        <w:numPr>
          <w:ilvl w:val="0"/>
          <w:numId w:val="5"/>
        </w:numPr>
        <w:spacing w:before="120" w:after="120"/>
        <w:jc w:val="both"/>
        <w:rPr>
          <w:rFonts w:asciiTheme="minorHAnsi" w:hAnsiTheme="minorHAnsi" w:cs="Arial"/>
        </w:rPr>
      </w:pPr>
      <w:r w:rsidRPr="003D4F7F">
        <w:rPr>
          <w:rFonts w:asciiTheme="minorHAnsi" w:hAnsiTheme="minorHAnsi" w:cs="Arial"/>
        </w:rPr>
        <w:t>E</w:t>
      </w:r>
      <w:r w:rsidR="000D2262">
        <w:rPr>
          <w:rFonts w:asciiTheme="minorHAnsi" w:hAnsiTheme="minorHAnsi" w:cs="Arial"/>
        </w:rPr>
        <w:t xml:space="preserve"> </w:t>
      </w:r>
      <w:r w:rsidRPr="003D4F7F">
        <w:rPr>
          <w:rFonts w:asciiTheme="minorHAnsi" w:hAnsiTheme="minorHAnsi" w:cs="Arial"/>
        </w:rPr>
        <w:t xml:space="preserve">o </w:t>
      </w:r>
      <w:proofErr w:type="spellStart"/>
      <w:r w:rsidRPr="003D4F7F">
        <w:rPr>
          <w:rFonts w:asciiTheme="minorHAnsi" w:hAnsiTheme="minorHAnsi" w:cs="Arial"/>
        </w:rPr>
        <w:t>rating</w:t>
      </w:r>
      <w:proofErr w:type="spellEnd"/>
      <w:r w:rsidRPr="003D4F7F">
        <w:rPr>
          <w:rFonts w:asciiTheme="minorHAnsi" w:hAnsiTheme="minorHAnsi" w:cs="Arial"/>
        </w:rPr>
        <w:t xml:space="preserve"> da instituição gestora, dos fundos de investimento por ela geridos, dos ativos que os compõe e de seus emissores, quando for o caso.</w:t>
      </w:r>
    </w:p>
    <w:p w:rsidR="002D2845" w:rsidRPr="003D4F7F" w:rsidRDefault="002D2845" w:rsidP="002D2845">
      <w:pPr>
        <w:spacing w:before="120" w:after="120"/>
        <w:jc w:val="both"/>
        <w:rPr>
          <w:rFonts w:asciiTheme="minorHAnsi" w:hAnsiTheme="minorHAnsi" w:cs="Arial"/>
        </w:rPr>
      </w:pPr>
      <w:r w:rsidRPr="003D4F7F">
        <w:rPr>
          <w:rFonts w:asciiTheme="minorHAnsi" w:hAnsiTheme="minorHAnsi" w:cs="Arial"/>
        </w:rPr>
        <w:lastRenderedPageBreak/>
        <w:t>Compete aos gestores previamente cadastrados e selecionados o envio sempre em tempo hábil ao Colombo Previdência, a documentação atualizada relativa ao regulamento e ao perfil dos produtos escolhidos para investimento e das movimentações realizadas pelo Instituto.</w:t>
      </w:r>
    </w:p>
    <w:p w:rsidR="002D2845" w:rsidRPr="003D4F7F" w:rsidRDefault="002D2845" w:rsidP="002D2845">
      <w:pPr>
        <w:spacing w:before="120" w:after="120"/>
        <w:jc w:val="both"/>
        <w:rPr>
          <w:rFonts w:asciiTheme="minorHAnsi" w:hAnsiTheme="minorHAnsi" w:cs="Arial"/>
        </w:rPr>
      </w:pPr>
      <w:r w:rsidRPr="003D4F7F">
        <w:rPr>
          <w:rFonts w:asciiTheme="minorHAnsi" w:hAnsiTheme="minorHAnsi" w:cs="Arial"/>
        </w:rPr>
        <w:t>Deverão também informar ao</w:t>
      </w:r>
      <w:r w:rsidR="000D2262">
        <w:rPr>
          <w:rFonts w:asciiTheme="minorHAnsi" w:hAnsiTheme="minorHAnsi" w:cs="Arial"/>
        </w:rPr>
        <w:t xml:space="preserve"> </w:t>
      </w:r>
      <w:r w:rsidRPr="003D4F7F">
        <w:rPr>
          <w:rFonts w:asciiTheme="minorHAnsi" w:hAnsiTheme="minorHAnsi" w:cs="Arial"/>
        </w:rPr>
        <w:t>Colombo Previdência, por escrito, a ocorrência de qualquer alteração significativa na filosofia de investimento, a perda de um ou mais funcionários chave na gestão dos recursos, mudanças na estrutura societária da instituição gestora, enfim qualquer evento ou fato que possa impactar na qualidade da gestão ou na integridade dos investimentos realizados pelo Instituto.</w:t>
      </w:r>
      <w:bookmarkStart w:id="17" w:name="_Toc219780920"/>
      <w:bookmarkStart w:id="18" w:name="_Toc280352480"/>
    </w:p>
    <w:p w:rsidR="002D2845" w:rsidRPr="003D4F7F" w:rsidRDefault="002D2845" w:rsidP="002D2845">
      <w:pPr>
        <w:spacing w:before="120" w:after="120"/>
        <w:jc w:val="both"/>
        <w:rPr>
          <w:rFonts w:asciiTheme="minorHAnsi" w:hAnsiTheme="minorHAnsi" w:cs="Arial"/>
        </w:rPr>
      </w:pPr>
    </w:p>
    <w:p w:rsidR="002D2845" w:rsidRPr="003D4F7F" w:rsidRDefault="002D2845" w:rsidP="002D2845">
      <w:pPr>
        <w:pStyle w:val="Subttulo"/>
        <w:spacing w:before="120" w:after="120"/>
        <w:jc w:val="left"/>
        <w:outlineLvl w:val="9"/>
        <w:rPr>
          <w:rFonts w:asciiTheme="minorHAnsi" w:hAnsiTheme="minorHAnsi" w:cs="Arial"/>
          <w:b/>
        </w:rPr>
      </w:pPr>
      <w:r w:rsidRPr="003D4F7F">
        <w:rPr>
          <w:rFonts w:asciiTheme="minorHAnsi" w:hAnsiTheme="minorHAnsi" w:cs="Arial"/>
          <w:b/>
        </w:rPr>
        <w:t>7.5. AGENTE CUSTODIANTE</w:t>
      </w:r>
      <w:bookmarkEnd w:id="17"/>
      <w:bookmarkEnd w:id="18"/>
    </w:p>
    <w:p w:rsidR="002D2845" w:rsidRPr="003D4F7F" w:rsidRDefault="002D2845" w:rsidP="002D2845">
      <w:pPr>
        <w:spacing w:before="120" w:after="120"/>
        <w:jc w:val="both"/>
        <w:rPr>
          <w:rFonts w:asciiTheme="minorHAnsi" w:hAnsiTheme="minorHAnsi" w:cs="Arial"/>
        </w:rPr>
      </w:pPr>
      <w:r w:rsidRPr="003D4F7F">
        <w:rPr>
          <w:rFonts w:asciiTheme="minorHAnsi" w:hAnsiTheme="minorHAnsi" w:cs="Arial"/>
        </w:rPr>
        <w:t>Relativamente à custódia de títulos e valores mobiliários, reza a Resolução 3.922/2010 do CMN, artigo 17, que salvo para as aplicações realizadas por meio de fundos de investimento, a atividade de agente custodiante, responsável pelos fluxos de pagamentos e recebimentos relativos às operações realizadas no âmbito dos segmentos de renda fixa e variável, deve ser exercida por pessoas jurídicas registradas na CVM.</w:t>
      </w:r>
    </w:p>
    <w:p w:rsidR="002D2845" w:rsidRPr="003D4F7F" w:rsidRDefault="002D2845" w:rsidP="002D2845">
      <w:pPr>
        <w:spacing w:before="120" w:after="120"/>
        <w:jc w:val="both"/>
        <w:rPr>
          <w:rFonts w:asciiTheme="minorHAnsi" w:hAnsiTheme="minorHAnsi" w:cs="Arial"/>
        </w:rPr>
      </w:pPr>
      <w:r w:rsidRPr="003D4F7F">
        <w:rPr>
          <w:rFonts w:asciiTheme="minorHAnsi" w:hAnsiTheme="minorHAnsi" w:cs="Arial"/>
        </w:rPr>
        <w:t>O Colombo Previdência poderá contratar instituição financeira capacitada como agente custodiante e na sua avaliação anual será levada em consideração:</w:t>
      </w:r>
    </w:p>
    <w:p w:rsidR="002D2845" w:rsidRPr="003D4F7F" w:rsidRDefault="002D2845" w:rsidP="002D2845">
      <w:pPr>
        <w:numPr>
          <w:ilvl w:val="0"/>
          <w:numId w:val="6"/>
        </w:numPr>
        <w:spacing w:before="120" w:after="120"/>
        <w:jc w:val="both"/>
        <w:rPr>
          <w:rFonts w:asciiTheme="minorHAnsi" w:hAnsiTheme="minorHAnsi" w:cs="Arial"/>
        </w:rPr>
      </w:pPr>
      <w:r w:rsidRPr="003D4F7F">
        <w:rPr>
          <w:rFonts w:asciiTheme="minorHAnsi" w:hAnsiTheme="minorHAnsi" w:cs="Arial"/>
        </w:rPr>
        <w:t>A qualidade do atendimento;</w:t>
      </w:r>
    </w:p>
    <w:p w:rsidR="002D2845" w:rsidRPr="003D4F7F" w:rsidRDefault="002D2845" w:rsidP="002D2845">
      <w:pPr>
        <w:numPr>
          <w:ilvl w:val="0"/>
          <w:numId w:val="6"/>
        </w:numPr>
        <w:spacing w:before="120" w:after="120"/>
        <w:jc w:val="both"/>
        <w:rPr>
          <w:rFonts w:asciiTheme="minorHAnsi" w:hAnsiTheme="minorHAnsi" w:cs="Arial"/>
        </w:rPr>
      </w:pPr>
      <w:r w:rsidRPr="003D4F7F">
        <w:rPr>
          <w:rFonts w:asciiTheme="minorHAnsi" w:hAnsiTheme="minorHAnsi" w:cs="Arial"/>
        </w:rPr>
        <w:t>A qualidade dos serviços prestados;</w:t>
      </w:r>
    </w:p>
    <w:p w:rsidR="002D2845" w:rsidRPr="003D4F7F" w:rsidRDefault="002D2845" w:rsidP="002D2845">
      <w:pPr>
        <w:numPr>
          <w:ilvl w:val="0"/>
          <w:numId w:val="6"/>
        </w:numPr>
        <w:spacing w:before="120" w:after="120"/>
        <w:jc w:val="both"/>
        <w:rPr>
          <w:rFonts w:asciiTheme="minorHAnsi" w:hAnsiTheme="minorHAnsi" w:cs="Arial"/>
        </w:rPr>
      </w:pPr>
      <w:r w:rsidRPr="003D4F7F">
        <w:rPr>
          <w:rFonts w:asciiTheme="minorHAnsi" w:hAnsiTheme="minorHAnsi" w:cs="Arial"/>
        </w:rPr>
        <w:t>A sua diligência na resolução de problemas e atendimento a demandas;</w:t>
      </w:r>
    </w:p>
    <w:p w:rsidR="002D2845" w:rsidRPr="003D4F7F" w:rsidRDefault="002D2845" w:rsidP="002D2845">
      <w:pPr>
        <w:numPr>
          <w:ilvl w:val="0"/>
          <w:numId w:val="6"/>
        </w:numPr>
        <w:spacing w:before="120" w:after="120"/>
        <w:jc w:val="both"/>
        <w:rPr>
          <w:rFonts w:asciiTheme="minorHAnsi" w:hAnsiTheme="minorHAnsi" w:cs="Arial"/>
        </w:rPr>
      </w:pPr>
      <w:r w:rsidRPr="003D4F7F">
        <w:rPr>
          <w:rFonts w:asciiTheme="minorHAnsi" w:hAnsiTheme="minorHAnsi" w:cs="Arial"/>
        </w:rPr>
        <w:t>A sua competitividade quanto às taxas cobradas;</w:t>
      </w:r>
    </w:p>
    <w:p w:rsidR="002D2845" w:rsidRPr="003D4F7F" w:rsidRDefault="002D2845" w:rsidP="002D2845">
      <w:pPr>
        <w:numPr>
          <w:ilvl w:val="0"/>
          <w:numId w:val="6"/>
        </w:numPr>
        <w:spacing w:before="120" w:after="120"/>
        <w:jc w:val="both"/>
        <w:rPr>
          <w:rFonts w:asciiTheme="minorHAnsi" w:hAnsiTheme="minorHAnsi" w:cs="Arial"/>
        </w:rPr>
      </w:pPr>
      <w:r w:rsidRPr="003D4F7F">
        <w:rPr>
          <w:rFonts w:asciiTheme="minorHAnsi" w:hAnsiTheme="minorHAnsi" w:cs="Arial"/>
        </w:rPr>
        <w:t>E a sua regularidade no envio e a</w:t>
      </w:r>
      <w:r w:rsidR="000D2262">
        <w:rPr>
          <w:rFonts w:asciiTheme="minorHAnsi" w:hAnsiTheme="minorHAnsi" w:cs="Arial"/>
        </w:rPr>
        <w:t xml:space="preserve"> </w:t>
      </w:r>
      <w:r w:rsidRPr="003D4F7F">
        <w:rPr>
          <w:rFonts w:asciiTheme="minorHAnsi" w:hAnsiTheme="minorHAnsi" w:cs="Arial"/>
        </w:rPr>
        <w:t>fidelidade das informações prestadas nos relatórios.</w:t>
      </w:r>
    </w:p>
    <w:p w:rsidR="002D2845" w:rsidRPr="003D4F7F" w:rsidRDefault="002D2845" w:rsidP="002D2845">
      <w:pPr>
        <w:spacing w:before="120" w:after="120"/>
        <w:jc w:val="both"/>
        <w:rPr>
          <w:rFonts w:asciiTheme="minorHAnsi" w:hAnsiTheme="minorHAnsi" w:cs="Arial"/>
        </w:rPr>
      </w:pPr>
    </w:p>
    <w:p w:rsidR="002D2845" w:rsidRPr="003D4F7F" w:rsidRDefault="002D2845" w:rsidP="002D2845">
      <w:pPr>
        <w:pStyle w:val="Ttulo"/>
        <w:numPr>
          <w:ilvl w:val="0"/>
          <w:numId w:val="18"/>
        </w:numPr>
        <w:spacing w:before="120" w:after="120"/>
        <w:jc w:val="left"/>
        <w:rPr>
          <w:rFonts w:asciiTheme="minorHAnsi" w:hAnsiTheme="minorHAnsi" w:cs="Arial"/>
          <w:sz w:val="24"/>
          <w:szCs w:val="24"/>
        </w:rPr>
      </w:pPr>
      <w:bookmarkStart w:id="19" w:name="_Toc404173778"/>
      <w:r w:rsidRPr="003D4F7F">
        <w:rPr>
          <w:rFonts w:asciiTheme="minorHAnsi" w:hAnsiTheme="minorHAnsi" w:cs="Arial"/>
          <w:sz w:val="24"/>
          <w:szCs w:val="24"/>
        </w:rPr>
        <w:t>SELEÇÃO E APLICAÇÃO DE ATIVOS E PRODUTOS DE INVESTIMENTOS</w:t>
      </w:r>
      <w:bookmarkEnd w:id="19"/>
    </w:p>
    <w:p w:rsidR="002D2845" w:rsidRPr="003D4F7F" w:rsidRDefault="002D2845" w:rsidP="002D2845">
      <w:pPr>
        <w:pStyle w:val="NormalLatimArial"/>
        <w:spacing w:before="120" w:after="120"/>
        <w:ind w:left="0"/>
        <w:rPr>
          <w:rFonts w:asciiTheme="minorHAnsi" w:hAnsiTheme="minorHAnsi"/>
          <w:b/>
          <w:sz w:val="24"/>
          <w:szCs w:val="24"/>
        </w:rPr>
      </w:pPr>
      <w:r w:rsidRPr="003D4F7F">
        <w:rPr>
          <w:rFonts w:asciiTheme="minorHAnsi" w:hAnsiTheme="minorHAnsi"/>
          <w:sz w:val="24"/>
          <w:szCs w:val="24"/>
        </w:rPr>
        <w:t>É de competência dos gestores e do órgão deliberativo do Colombo Previdência, assessorados pelo Comitê de Investimentos,</w:t>
      </w:r>
      <w:r w:rsidRPr="003D4F7F">
        <w:rPr>
          <w:rFonts w:asciiTheme="minorHAnsi" w:hAnsiTheme="minorHAnsi"/>
          <w:bCs/>
          <w:sz w:val="24"/>
          <w:szCs w:val="24"/>
        </w:rPr>
        <w:t xml:space="preserve"> a seleção e aplicação dos ativos e produtos financeiros que integrarão a carteira de investimentos do Instituto. Ambos têm o dever de:</w:t>
      </w:r>
    </w:p>
    <w:p w:rsidR="002D2845" w:rsidRPr="003D4F7F" w:rsidRDefault="002D2845" w:rsidP="002D2845">
      <w:pPr>
        <w:pStyle w:val="NormalLatimArial"/>
        <w:numPr>
          <w:ilvl w:val="0"/>
          <w:numId w:val="7"/>
        </w:numPr>
        <w:spacing w:before="120" w:after="120"/>
        <w:rPr>
          <w:rFonts w:asciiTheme="minorHAnsi" w:hAnsiTheme="minorHAnsi"/>
          <w:b/>
          <w:sz w:val="24"/>
          <w:szCs w:val="24"/>
        </w:rPr>
      </w:pPr>
      <w:r w:rsidRPr="003D4F7F">
        <w:rPr>
          <w:rFonts w:asciiTheme="minorHAnsi" w:hAnsiTheme="minorHAnsi"/>
          <w:bCs/>
          <w:sz w:val="24"/>
          <w:szCs w:val="24"/>
        </w:rPr>
        <w:t>Observar os princípios de segurança, rentabilidade, solvência, liquidez e transparência;</w:t>
      </w:r>
    </w:p>
    <w:p w:rsidR="002D2845" w:rsidRPr="003D4F7F" w:rsidRDefault="002D2845" w:rsidP="002D2845">
      <w:pPr>
        <w:pStyle w:val="NormalLatimArial"/>
        <w:numPr>
          <w:ilvl w:val="0"/>
          <w:numId w:val="7"/>
        </w:numPr>
        <w:spacing w:before="120" w:after="120"/>
        <w:rPr>
          <w:rFonts w:asciiTheme="minorHAnsi" w:hAnsiTheme="minorHAnsi"/>
          <w:b/>
          <w:sz w:val="24"/>
          <w:szCs w:val="24"/>
        </w:rPr>
      </w:pPr>
      <w:r w:rsidRPr="003D4F7F">
        <w:rPr>
          <w:rFonts w:asciiTheme="minorHAnsi" w:hAnsiTheme="minorHAnsi"/>
          <w:bCs/>
          <w:sz w:val="24"/>
          <w:szCs w:val="24"/>
        </w:rPr>
        <w:t>Exercer suas atividades com boa fé, lealdade e diligência;</w:t>
      </w:r>
    </w:p>
    <w:p w:rsidR="002D2845" w:rsidRPr="003D4F7F" w:rsidRDefault="002D2845" w:rsidP="002D2845">
      <w:pPr>
        <w:pStyle w:val="NormalLatimArial"/>
        <w:numPr>
          <w:ilvl w:val="0"/>
          <w:numId w:val="7"/>
        </w:numPr>
        <w:spacing w:before="120" w:after="120"/>
        <w:rPr>
          <w:rFonts w:asciiTheme="minorHAnsi" w:hAnsiTheme="minorHAnsi"/>
          <w:b/>
          <w:sz w:val="24"/>
          <w:szCs w:val="24"/>
        </w:rPr>
      </w:pPr>
      <w:r w:rsidRPr="003D4F7F">
        <w:rPr>
          <w:rFonts w:asciiTheme="minorHAnsi" w:hAnsiTheme="minorHAnsi"/>
          <w:bCs/>
          <w:sz w:val="24"/>
          <w:szCs w:val="24"/>
        </w:rPr>
        <w:t>Zelar por elevados padrões éticos;</w:t>
      </w:r>
    </w:p>
    <w:p w:rsidR="002D2845" w:rsidRPr="003D4F7F" w:rsidRDefault="002D2845" w:rsidP="002D2845">
      <w:pPr>
        <w:pStyle w:val="NormalLatimArial"/>
        <w:numPr>
          <w:ilvl w:val="0"/>
          <w:numId w:val="7"/>
        </w:numPr>
        <w:spacing w:before="120" w:after="120"/>
        <w:rPr>
          <w:rFonts w:asciiTheme="minorHAnsi" w:hAnsiTheme="minorHAnsi"/>
          <w:b/>
          <w:sz w:val="24"/>
          <w:szCs w:val="24"/>
        </w:rPr>
      </w:pPr>
      <w:r w:rsidRPr="003D4F7F">
        <w:rPr>
          <w:rFonts w:asciiTheme="minorHAnsi" w:hAnsiTheme="minorHAnsi"/>
          <w:bCs/>
          <w:sz w:val="24"/>
          <w:szCs w:val="24"/>
        </w:rPr>
        <w:t>Adotar práticas que garantam o cumprimento do seu dever fiduciário em relação aos participantes dos planos de benefício;</w:t>
      </w:r>
    </w:p>
    <w:p w:rsidR="002D2845" w:rsidRPr="003D4F7F" w:rsidRDefault="002D2845" w:rsidP="002D2845">
      <w:pPr>
        <w:pStyle w:val="NormalLatimArial"/>
        <w:numPr>
          <w:ilvl w:val="0"/>
          <w:numId w:val="7"/>
        </w:numPr>
        <w:spacing w:before="120" w:after="120"/>
        <w:rPr>
          <w:rFonts w:asciiTheme="minorHAnsi" w:hAnsiTheme="minorHAnsi"/>
          <w:b/>
          <w:sz w:val="24"/>
          <w:szCs w:val="24"/>
        </w:rPr>
      </w:pPr>
      <w:r w:rsidRPr="003D4F7F">
        <w:rPr>
          <w:rFonts w:asciiTheme="minorHAnsi" w:hAnsiTheme="minorHAnsi"/>
          <w:bCs/>
          <w:sz w:val="24"/>
          <w:szCs w:val="24"/>
        </w:rPr>
        <w:lastRenderedPageBreak/>
        <w:t>Assegurar de que as empresas e profissionais contratados para lhe prestar serviços especializados tenham qualificação e experiência adequadas às incumbências e de que não haja conflitos de interesses; e</w:t>
      </w:r>
    </w:p>
    <w:p w:rsidR="002D2845" w:rsidRPr="003D4F7F" w:rsidRDefault="002D2845" w:rsidP="002D2845">
      <w:pPr>
        <w:pStyle w:val="NormalLatimArial"/>
        <w:numPr>
          <w:ilvl w:val="0"/>
          <w:numId w:val="7"/>
        </w:numPr>
        <w:spacing w:before="120" w:after="120"/>
        <w:rPr>
          <w:rFonts w:asciiTheme="minorHAnsi" w:hAnsiTheme="minorHAnsi"/>
          <w:b/>
          <w:sz w:val="24"/>
          <w:szCs w:val="24"/>
        </w:rPr>
      </w:pPr>
      <w:r w:rsidRPr="003D4F7F">
        <w:rPr>
          <w:rFonts w:asciiTheme="minorHAnsi" w:hAnsiTheme="minorHAnsi"/>
          <w:bCs/>
          <w:sz w:val="24"/>
          <w:szCs w:val="24"/>
        </w:rPr>
        <w:t>Assegurar de que o processo de decisão e alocação dos investimentos seja realizado com isenção de conflitos de interesses de toda e qualquer ordem.</w:t>
      </w:r>
    </w:p>
    <w:p w:rsidR="002D2845" w:rsidRPr="003D4F7F" w:rsidRDefault="002D2845" w:rsidP="002D2845">
      <w:pPr>
        <w:pStyle w:val="NormalLatimArial"/>
        <w:spacing w:before="120" w:after="120"/>
        <w:ind w:left="0"/>
        <w:rPr>
          <w:rFonts w:asciiTheme="minorHAnsi" w:hAnsiTheme="minorHAnsi"/>
          <w:b/>
          <w:sz w:val="24"/>
          <w:szCs w:val="24"/>
        </w:rPr>
      </w:pPr>
    </w:p>
    <w:p w:rsidR="002D2845" w:rsidRPr="003D4F7F" w:rsidRDefault="002D2845" w:rsidP="002D2845">
      <w:pPr>
        <w:pStyle w:val="Subttulo"/>
        <w:spacing w:before="120" w:after="120"/>
        <w:jc w:val="left"/>
        <w:outlineLvl w:val="9"/>
        <w:rPr>
          <w:rFonts w:asciiTheme="minorHAnsi" w:hAnsiTheme="minorHAnsi" w:cs="Arial"/>
          <w:b/>
        </w:rPr>
      </w:pPr>
      <w:r w:rsidRPr="003D4F7F">
        <w:rPr>
          <w:rFonts w:asciiTheme="minorHAnsi" w:hAnsiTheme="minorHAnsi" w:cs="Arial"/>
          <w:b/>
        </w:rPr>
        <w:t>8.1. CREDENCIAMENTO</w:t>
      </w:r>
    </w:p>
    <w:p w:rsidR="002D2845" w:rsidRPr="003D4F7F" w:rsidRDefault="002D2845" w:rsidP="002D2845">
      <w:pPr>
        <w:pStyle w:val="NormalLatimArial"/>
        <w:spacing w:before="120" w:after="120"/>
        <w:ind w:left="0"/>
        <w:rPr>
          <w:rFonts w:asciiTheme="minorHAnsi" w:hAnsiTheme="minorHAnsi"/>
          <w:sz w:val="24"/>
          <w:szCs w:val="24"/>
        </w:rPr>
      </w:pPr>
      <w:r w:rsidRPr="003D4F7F">
        <w:rPr>
          <w:rFonts w:asciiTheme="minorHAnsi" w:hAnsiTheme="minorHAnsi"/>
          <w:sz w:val="24"/>
          <w:szCs w:val="24"/>
        </w:rPr>
        <w:t>Na gestão própria, antes da realização de qualquer operação o Colombo Previdência</w:t>
      </w:r>
      <w:r w:rsidRPr="003D4F7F">
        <w:rPr>
          <w:rFonts w:asciiTheme="minorHAnsi" w:hAnsiTheme="minorHAnsi"/>
          <w:bCs/>
          <w:sz w:val="24"/>
          <w:szCs w:val="24"/>
        </w:rPr>
        <w:t xml:space="preserve"> deve </w:t>
      </w:r>
      <w:r w:rsidRPr="003D4F7F">
        <w:rPr>
          <w:rFonts w:asciiTheme="minorHAnsi" w:hAnsiTheme="minorHAnsi"/>
          <w:sz w:val="24"/>
          <w:szCs w:val="24"/>
        </w:rPr>
        <w:t xml:space="preserve">assegurar que as instituições escolhidas para receber as aplicações tenham sido objeto de prévio credenciamento, em que deverão ser observados e formalmente atestados pelo representante legal do RPPS, no mínimo: </w:t>
      </w:r>
    </w:p>
    <w:p w:rsidR="002D2845" w:rsidRPr="00A252CB" w:rsidRDefault="002D2845" w:rsidP="002D2845">
      <w:pPr>
        <w:pStyle w:val="NormalLatimArial"/>
        <w:numPr>
          <w:ilvl w:val="0"/>
          <w:numId w:val="8"/>
        </w:numPr>
        <w:spacing w:before="120" w:after="120"/>
        <w:rPr>
          <w:rFonts w:asciiTheme="minorHAnsi" w:hAnsiTheme="minorHAnsi"/>
          <w:b/>
          <w:sz w:val="24"/>
          <w:szCs w:val="24"/>
        </w:rPr>
      </w:pPr>
      <w:r w:rsidRPr="003D4F7F">
        <w:rPr>
          <w:rFonts w:asciiTheme="minorHAnsi" w:hAnsiTheme="minorHAnsi"/>
          <w:sz w:val="24"/>
          <w:szCs w:val="24"/>
        </w:rPr>
        <w:t>Atos de registro ou autorização para funcionamento expedido</w:t>
      </w:r>
      <w:r w:rsidRPr="00A252CB">
        <w:rPr>
          <w:rFonts w:asciiTheme="minorHAnsi" w:hAnsiTheme="minorHAnsi"/>
          <w:sz w:val="24"/>
          <w:szCs w:val="24"/>
        </w:rPr>
        <w:t xml:space="preserve"> pelo Banco Central do Brasil ou Comissão de Valores Mobiliário</w:t>
      </w:r>
      <w:r w:rsidR="000D2262">
        <w:rPr>
          <w:rFonts w:asciiTheme="minorHAnsi" w:hAnsiTheme="minorHAnsi"/>
          <w:sz w:val="24"/>
          <w:szCs w:val="24"/>
        </w:rPr>
        <w:t>s</w:t>
      </w:r>
      <w:r w:rsidRPr="00A252CB">
        <w:rPr>
          <w:rFonts w:asciiTheme="minorHAnsi" w:hAnsiTheme="minorHAnsi"/>
          <w:sz w:val="24"/>
          <w:szCs w:val="24"/>
        </w:rPr>
        <w:t xml:space="preserve"> ou órgão competente;</w:t>
      </w:r>
    </w:p>
    <w:p w:rsidR="002D2845" w:rsidRPr="00A252CB" w:rsidRDefault="002D2845" w:rsidP="002D2845">
      <w:pPr>
        <w:pStyle w:val="NormalLatimArial"/>
        <w:numPr>
          <w:ilvl w:val="0"/>
          <w:numId w:val="8"/>
        </w:numPr>
        <w:spacing w:before="120" w:after="120"/>
        <w:rPr>
          <w:rFonts w:asciiTheme="minorHAnsi" w:hAnsiTheme="minorHAnsi"/>
          <w:b/>
          <w:sz w:val="24"/>
          <w:szCs w:val="24"/>
        </w:rPr>
      </w:pPr>
      <w:r w:rsidRPr="00A252CB">
        <w:rPr>
          <w:rFonts w:asciiTheme="minorHAnsi" w:hAnsiTheme="minorHAnsi"/>
          <w:sz w:val="24"/>
          <w:szCs w:val="24"/>
        </w:rPr>
        <w:t>Observação de elevado padrão ético de conduta nas operações realizadas no mercado financeiro e ausência de restrições que, a critério do Banco Central do Brasil, da Comissão de Valores Mobiliários ou de outros órgãos competentes desaconselham um relacionamento seguro;</w:t>
      </w:r>
    </w:p>
    <w:p w:rsidR="002D2845" w:rsidRPr="00A252CB" w:rsidRDefault="002D2845" w:rsidP="002D2845">
      <w:pPr>
        <w:pStyle w:val="NormalLatimArial"/>
        <w:numPr>
          <w:ilvl w:val="0"/>
          <w:numId w:val="8"/>
        </w:numPr>
        <w:spacing w:before="120" w:after="120"/>
        <w:rPr>
          <w:rFonts w:asciiTheme="minorHAnsi" w:hAnsiTheme="minorHAnsi"/>
          <w:b/>
          <w:sz w:val="24"/>
          <w:szCs w:val="24"/>
        </w:rPr>
      </w:pPr>
      <w:r w:rsidRPr="00A252CB">
        <w:rPr>
          <w:rFonts w:asciiTheme="minorHAnsi" w:hAnsiTheme="minorHAnsi"/>
          <w:sz w:val="24"/>
          <w:szCs w:val="24"/>
        </w:rPr>
        <w:t>Regularidade fiscal e previdenciária.</w:t>
      </w:r>
    </w:p>
    <w:p w:rsidR="002D2845" w:rsidRPr="00A252CB" w:rsidRDefault="002D2845" w:rsidP="002D2845">
      <w:pPr>
        <w:pStyle w:val="NormalLatimArial"/>
        <w:spacing w:before="120" w:after="120"/>
        <w:ind w:left="0"/>
        <w:rPr>
          <w:rFonts w:asciiTheme="minorHAnsi" w:hAnsiTheme="minorHAnsi"/>
          <w:sz w:val="24"/>
          <w:szCs w:val="24"/>
        </w:rPr>
      </w:pPr>
      <w:r w:rsidRPr="00A252CB">
        <w:rPr>
          <w:rFonts w:asciiTheme="minorHAnsi" w:hAnsiTheme="minorHAnsi"/>
          <w:sz w:val="24"/>
          <w:szCs w:val="24"/>
        </w:rPr>
        <w:t>Quando se tratar de fundos de investimento:</w:t>
      </w:r>
    </w:p>
    <w:p w:rsidR="002D2845" w:rsidRPr="00A252CB" w:rsidRDefault="002D2845" w:rsidP="002D2845">
      <w:pPr>
        <w:pStyle w:val="NormalLatimArial"/>
        <w:numPr>
          <w:ilvl w:val="0"/>
          <w:numId w:val="9"/>
        </w:numPr>
        <w:spacing w:before="120" w:after="120"/>
        <w:rPr>
          <w:rFonts w:asciiTheme="minorHAnsi" w:hAnsiTheme="minorHAnsi"/>
          <w:b/>
          <w:sz w:val="24"/>
          <w:szCs w:val="24"/>
        </w:rPr>
      </w:pPr>
      <w:r w:rsidRPr="00A252CB">
        <w:rPr>
          <w:rFonts w:asciiTheme="minorHAnsi" w:hAnsiTheme="minorHAnsi"/>
          <w:sz w:val="24"/>
          <w:szCs w:val="24"/>
        </w:rPr>
        <w:t>O credenciamento recairá além do próprio fundo de investimento, sobre a figura do gestor e do administrador do fundo, contemplando no mínimo:</w:t>
      </w:r>
    </w:p>
    <w:p w:rsidR="002D2845" w:rsidRPr="00A252CB" w:rsidRDefault="002D2845" w:rsidP="002D2845">
      <w:pPr>
        <w:pStyle w:val="NormalLatimArial"/>
        <w:numPr>
          <w:ilvl w:val="1"/>
          <w:numId w:val="9"/>
        </w:numPr>
        <w:spacing w:before="120" w:after="120"/>
        <w:rPr>
          <w:rFonts w:asciiTheme="minorHAnsi" w:hAnsiTheme="minorHAnsi"/>
          <w:b/>
          <w:sz w:val="24"/>
          <w:szCs w:val="24"/>
        </w:rPr>
      </w:pPr>
      <w:r w:rsidRPr="00A252CB">
        <w:rPr>
          <w:rFonts w:asciiTheme="minorHAnsi" w:hAnsiTheme="minorHAnsi"/>
          <w:sz w:val="24"/>
          <w:szCs w:val="24"/>
        </w:rPr>
        <w:t>Na análise do histórico e experiência de atuação do gestor e do administrador do fundo de investimento e de seus controladores;</w:t>
      </w:r>
    </w:p>
    <w:p w:rsidR="002D2845" w:rsidRPr="00A252CB" w:rsidRDefault="002D2845" w:rsidP="002D2845">
      <w:pPr>
        <w:pStyle w:val="NormalLatimArial"/>
        <w:numPr>
          <w:ilvl w:val="1"/>
          <w:numId w:val="9"/>
        </w:numPr>
        <w:spacing w:before="120" w:after="120"/>
        <w:rPr>
          <w:rFonts w:asciiTheme="minorHAnsi" w:hAnsiTheme="minorHAnsi"/>
          <w:b/>
          <w:sz w:val="24"/>
          <w:szCs w:val="24"/>
        </w:rPr>
      </w:pPr>
      <w:r w:rsidRPr="00A252CB">
        <w:rPr>
          <w:rFonts w:asciiTheme="minorHAnsi" w:hAnsiTheme="minorHAnsi"/>
          <w:sz w:val="24"/>
          <w:szCs w:val="24"/>
        </w:rPr>
        <w:t xml:space="preserve">A análise quanto ao volume de recursos sob sua gestão e administração, bem como quanto </w:t>
      </w:r>
      <w:proofErr w:type="gramStart"/>
      <w:r w:rsidRPr="00A252CB">
        <w:rPr>
          <w:rFonts w:asciiTheme="minorHAnsi" w:hAnsiTheme="minorHAnsi"/>
          <w:sz w:val="24"/>
          <w:szCs w:val="24"/>
        </w:rPr>
        <w:t>a</w:t>
      </w:r>
      <w:proofErr w:type="gramEnd"/>
      <w:r w:rsidRPr="00A252CB">
        <w:rPr>
          <w:rFonts w:asciiTheme="minorHAnsi" w:hAnsiTheme="minorHAnsi"/>
          <w:sz w:val="24"/>
          <w:szCs w:val="24"/>
        </w:rPr>
        <w:t xml:space="preserve"> qualificação do corpo técnico e segregação de atividades;</w:t>
      </w:r>
    </w:p>
    <w:p w:rsidR="002D2845" w:rsidRPr="00A252CB" w:rsidRDefault="002D2845" w:rsidP="002D2845">
      <w:pPr>
        <w:pStyle w:val="NormalLatimArial"/>
        <w:numPr>
          <w:ilvl w:val="1"/>
          <w:numId w:val="9"/>
        </w:numPr>
        <w:spacing w:before="120" w:after="120"/>
        <w:rPr>
          <w:rFonts w:asciiTheme="minorHAnsi" w:hAnsiTheme="minorHAnsi"/>
          <w:b/>
          <w:sz w:val="24"/>
          <w:szCs w:val="24"/>
        </w:rPr>
      </w:pPr>
      <w:r w:rsidRPr="00A252CB">
        <w:rPr>
          <w:rFonts w:asciiTheme="minorHAnsi" w:hAnsiTheme="minorHAnsi"/>
          <w:sz w:val="24"/>
          <w:szCs w:val="24"/>
        </w:rPr>
        <w:t>Na avaliação da aderência da rentabilidade aos indicadores de desempenho e risco assumidos pelos fundos de investimento sob sua gestão e administração, no período de dois anos anteriores ao credenciamento.</w:t>
      </w:r>
    </w:p>
    <w:p w:rsidR="002D2845" w:rsidRPr="00A252CB" w:rsidRDefault="002D2845" w:rsidP="002D2845">
      <w:pPr>
        <w:pStyle w:val="NormalLatimArial"/>
        <w:numPr>
          <w:ilvl w:val="0"/>
          <w:numId w:val="9"/>
        </w:numPr>
        <w:spacing w:before="120" w:after="120"/>
        <w:rPr>
          <w:rFonts w:asciiTheme="minorHAnsi" w:hAnsiTheme="minorHAnsi"/>
          <w:sz w:val="24"/>
          <w:szCs w:val="24"/>
        </w:rPr>
      </w:pPr>
      <w:r w:rsidRPr="00A252CB">
        <w:rPr>
          <w:rFonts w:asciiTheme="minorHAnsi" w:hAnsiTheme="minorHAnsi"/>
          <w:sz w:val="24"/>
          <w:szCs w:val="24"/>
        </w:rPr>
        <w:t>Deverá ser realizada a análise e registro do distribuidor, instituição integrante do sistema de distribuição ou agente autônomo de investimento, certificando-se sobre o contrato para distribuição e mediação do produto ofertado e a regularidade com a Comissão de Valores Mobiliários – CVM.</w:t>
      </w:r>
    </w:p>
    <w:p w:rsidR="002D2845" w:rsidRPr="00A252CB" w:rsidRDefault="002D2845" w:rsidP="002D2845">
      <w:pPr>
        <w:pStyle w:val="NormalLatimArial"/>
        <w:spacing w:before="120" w:after="120"/>
        <w:ind w:left="0"/>
        <w:rPr>
          <w:rFonts w:asciiTheme="minorHAnsi" w:hAnsiTheme="minorHAnsi"/>
          <w:sz w:val="24"/>
          <w:szCs w:val="24"/>
        </w:rPr>
      </w:pPr>
      <w:r w:rsidRPr="00A252CB">
        <w:rPr>
          <w:rFonts w:asciiTheme="minorHAnsi" w:hAnsiTheme="minorHAnsi"/>
          <w:sz w:val="24"/>
          <w:szCs w:val="24"/>
        </w:rPr>
        <w:t>A análise dos quesitos verificados nos processos de credenciamento deverá ser atualizada a cada seis meses e as aplicações que apresentem prazos para desinvestimento, inclusive prazos de carência para a conversão de cotas de fundos de investimentos, deverão ser precedidas de atestado do responsável legal pelo RPPS, evidenciando a sua compatibilidade com as obrigações presentes e futuras do regime.</w:t>
      </w:r>
    </w:p>
    <w:p w:rsidR="002D2845" w:rsidRPr="00A252CB" w:rsidRDefault="002D2845" w:rsidP="002D2845">
      <w:pPr>
        <w:pStyle w:val="NormalLatimArial"/>
        <w:spacing w:before="120" w:after="120"/>
        <w:ind w:left="0"/>
        <w:rPr>
          <w:rFonts w:asciiTheme="minorHAnsi" w:hAnsiTheme="minorHAnsi"/>
          <w:sz w:val="24"/>
          <w:szCs w:val="24"/>
        </w:rPr>
      </w:pPr>
      <w:r w:rsidRPr="00A252CB">
        <w:rPr>
          <w:rFonts w:asciiTheme="minorHAnsi" w:hAnsiTheme="minorHAnsi"/>
          <w:sz w:val="24"/>
          <w:szCs w:val="24"/>
        </w:rPr>
        <w:lastRenderedPageBreak/>
        <w:t xml:space="preserve">Ainda sobre a taxa de </w:t>
      </w:r>
      <w:proofErr w:type="gramStart"/>
      <w:r w:rsidRPr="00A252CB">
        <w:rPr>
          <w:rFonts w:asciiTheme="minorHAnsi" w:hAnsiTheme="minorHAnsi"/>
          <w:sz w:val="24"/>
          <w:szCs w:val="24"/>
        </w:rPr>
        <w:t>performance</w:t>
      </w:r>
      <w:proofErr w:type="gramEnd"/>
      <w:r w:rsidRPr="00A252CB">
        <w:rPr>
          <w:rFonts w:asciiTheme="minorHAnsi" w:hAnsiTheme="minorHAnsi"/>
          <w:sz w:val="24"/>
          <w:szCs w:val="24"/>
        </w:rPr>
        <w:t>, o artigo 4º veda o seu pagamento quando o resultado do valor da aplicação for inferior ao seu valor nominal inicial ou ao valor na data da última cobrança.</w:t>
      </w:r>
    </w:p>
    <w:p w:rsidR="002D2845" w:rsidRPr="00A252CB" w:rsidRDefault="002D2845" w:rsidP="002D2845">
      <w:pPr>
        <w:spacing w:before="120" w:after="120"/>
        <w:jc w:val="both"/>
        <w:rPr>
          <w:rFonts w:asciiTheme="minorHAnsi" w:hAnsiTheme="minorHAnsi" w:cs="Arial"/>
        </w:rPr>
      </w:pPr>
      <w:r w:rsidRPr="00A252CB">
        <w:rPr>
          <w:rFonts w:asciiTheme="minorHAnsi" w:hAnsiTheme="minorHAnsi" w:cs="Arial"/>
        </w:rPr>
        <w:t>O artigo 5º reza que a documentação comprobatória do cumprimento das obrigações de que trata as Portarias e a Resolução do CMN dispondo sobre as aplicações dos recursos dos RPPS deverá permanecer à disposição dos órgãos de supervisão competente.</w:t>
      </w:r>
    </w:p>
    <w:p w:rsidR="002D2845" w:rsidRPr="00A252CB" w:rsidRDefault="002D2845" w:rsidP="002D2845">
      <w:pPr>
        <w:spacing w:before="120" w:after="120"/>
        <w:jc w:val="both"/>
        <w:rPr>
          <w:rFonts w:asciiTheme="minorHAnsi" w:hAnsiTheme="minorHAnsi" w:cs="Arial"/>
        </w:rPr>
      </w:pPr>
    </w:p>
    <w:p w:rsidR="002D2845" w:rsidRPr="00A252CB" w:rsidRDefault="002D2845" w:rsidP="002D2845">
      <w:pPr>
        <w:pStyle w:val="Subttulo"/>
        <w:spacing w:before="120" w:after="120"/>
        <w:jc w:val="left"/>
        <w:outlineLvl w:val="9"/>
        <w:rPr>
          <w:rFonts w:asciiTheme="minorHAnsi" w:hAnsiTheme="minorHAnsi"/>
          <w:b/>
        </w:rPr>
      </w:pPr>
      <w:r w:rsidRPr="00A252CB">
        <w:rPr>
          <w:rFonts w:asciiTheme="minorHAnsi" w:hAnsiTheme="minorHAnsi" w:cs="Arial"/>
          <w:b/>
        </w:rPr>
        <w:t>8.2. RELATÓRIO DE DUE DILIGENCE</w:t>
      </w:r>
    </w:p>
    <w:p w:rsidR="002D2845" w:rsidRPr="003D4F7F" w:rsidRDefault="002D2845" w:rsidP="002D2845">
      <w:pPr>
        <w:spacing w:before="120" w:after="120"/>
        <w:jc w:val="both"/>
        <w:rPr>
          <w:rFonts w:asciiTheme="minorHAnsi" w:hAnsiTheme="minorHAnsi" w:cs="Arial"/>
        </w:rPr>
      </w:pPr>
      <w:r w:rsidRPr="00A252CB">
        <w:rPr>
          <w:rFonts w:asciiTheme="minorHAnsi" w:hAnsiTheme="minorHAnsi" w:cs="Arial"/>
        </w:rPr>
        <w:t xml:space="preserve">O Relatório de </w:t>
      </w:r>
      <w:proofErr w:type="spellStart"/>
      <w:r w:rsidRPr="00A252CB">
        <w:rPr>
          <w:rFonts w:asciiTheme="minorHAnsi" w:hAnsiTheme="minorHAnsi" w:cs="Arial"/>
        </w:rPr>
        <w:t>Due</w:t>
      </w:r>
      <w:proofErr w:type="spellEnd"/>
      <w:r w:rsidR="000D2262">
        <w:rPr>
          <w:rFonts w:asciiTheme="minorHAnsi" w:hAnsiTheme="minorHAnsi" w:cs="Arial"/>
        </w:rPr>
        <w:t xml:space="preserve"> </w:t>
      </w:r>
      <w:proofErr w:type="spellStart"/>
      <w:r w:rsidRPr="00A252CB">
        <w:rPr>
          <w:rFonts w:asciiTheme="minorHAnsi" w:hAnsiTheme="minorHAnsi" w:cs="Arial"/>
        </w:rPr>
        <w:t>Dilligence</w:t>
      </w:r>
      <w:proofErr w:type="spellEnd"/>
      <w:r w:rsidR="000D2262">
        <w:rPr>
          <w:rFonts w:asciiTheme="minorHAnsi" w:hAnsiTheme="minorHAnsi" w:cs="Arial"/>
        </w:rPr>
        <w:t xml:space="preserve"> </w:t>
      </w:r>
      <w:r w:rsidRPr="003D4F7F">
        <w:rPr>
          <w:rFonts w:asciiTheme="minorHAnsi" w:hAnsiTheme="minorHAnsi" w:cs="Arial"/>
        </w:rPr>
        <w:t>será realizado pela consultoria de valores mobiliários com o objetivo de auxiliar o Colombo Previdência na escolha dos fundos de investimentos que se habilitarão ao processo de credenciamento.</w:t>
      </w:r>
    </w:p>
    <w:p w:rsidR="002D2845" w:rsidRPr="003D4F7F" w:rsidRDefault="002D2845" w:rsidP="002D2845">
      <w:pPr>
        <w:spacing w:before="120" w:after="120"/>
        <w:jc w:val="both"/>
        <w:rPr>
          <w:rFonts w:asciiTheme="minorHAnsi" w:hAnsiTheme="minorHAnsi" w:cs="Arial"/>
        </w:rPr>
      </w:pPr>
      <w:r w:rsidRPr="003D4F7F">
        <w:rPr>
          <w:rFonts w:asciiTheme="minorHAnsi" w:hAnsiTheme="minorHAnsi" w:cs="Arial"/>
        </w:rPr>
        <w:t>Os relatórios deverão dotar de informações, como:</w:t>
      </w:r>
    </w:p>
    <w:p w:rsidR="002D2845" w:rsidRPr="003D4F7F" w:rsidRDefault="002D2845" w:rsidP="002D2845">
      <w:pPr>
        <w:numPr>
          <w:ilvl w:val="0"/>
          <w:numId w:val="19"/>
        </w:numPr>
        <w:spacing w:before="120" w:after="120"/>
        <w:jc w:val="both"/>
        <w:rPr>
          <w:rFonts w:asciiTheme="minorHAnsi" w:hAnsiTheme="minorHAnsi" w:cs="Arial"/>
        </w:rPr>
      </w:pPr>
      <w:r w:rsidRPr="003D4F7F">
        <w:rPr>
          <w:rFonts w:asciiTheme="minorHAnsi" w:hAnsiTheme="minorHAnsi" w:cs="Arial"/>
        </w:rPr>
        <w:t>Histórico do gestor desde a sua fundação;</w:t>
      </w:r>
    </w:p>
    <w:p w:rsidR="002D2845" w:rsidRPr="003D4F7F" w:rsidRDefault="002D2845" w:rsidP="002D2845">
      <w:pPr>
        <w:numPr>
          <w:ilvl w:val="0"/>
          <w:numId w:val="19"/>
        </w:numPr>
        <w:spacing w:before="120" w:after="120"/>
        <w:jc w:val="both"/>
        <w:rPr>
          <w:rFonts w:asciiTheme="minorHAnsi" w:hAnsiTheme="minorHAnsi" w:cs="Arial"/>
        </w:rPr>
      </w:pPr>
      <w:r w:rsidRPr="003D4F7F">
        <w:rPr>
          <w:rFonts w:asciiTheme="minorHAnsi" w:hAnsiTheme="minorHAnsi" w:cs="Arial"/>
        </w:rPr>
        <w:t>Principais fundos habilitados para credenciamento;</w:t>
      </w:r>
    </w:p>
    <w:p w:rsidR="002D2845" w:rsidRPr="003D4F7F" w:rsidRDefault="002D2845" w:rsidP="002D2845">
      <w:pPr>
        <w:numPr>
          <w:ilvl w:val="0"/>
          <w:numId w:val="19"/>
        </w:numPr>
        <w:spacing w:before="120" w:after="120"/>
        <w:jc w:val="both"/>
        <w:rPr>
          <w:rFonts w:asciiTheme="minorHAnsi" w:hAnsiTheme="minorHAnsi" w:cs="Arial"/>
        </w:rPr>
      </w:pPr>
      <w:r w:rsidRPr="003D4F7F">
        <w:rPr>
          <w:rFonts w:asciiTheme="minorHAnsi" w:hAnsiTheme="minorHAnsi" w:cs="Arial"/>
        </w:rPr>
        <w:t>Filosofia de investimento;</w:t>
      </w:r>
    </w:p>
    <w:p w:rsidR="002D2845" w:rsidRPr="003D4F7F" w:rsidRDefault="002D2845" w:rsidP="002D2845">
      <w:pPr>
        <w:numPr>
          <w:ilvl w:val="0"/>
          <w:numId w:val="19"/>
        </w:numPr>
        <w:spacing w:before="120" w:after="120"/>
        <w:jc w:val="both"/>
        <w:rPr>
          <w:rFonts w:asciiTheme="minorHAnsi" w:hAnsiTheme="minorHAnsi" w:cs="Arial"/>
        </w:rPr>
      </w:pPr>
      <w:r w:rsidRPr="003D4F7F">
        <w:rPr>
          <w:rFonts w:asciiTheme="minorHAnsi" w:hAnsiTheme="minorHAnsi" w:cs="Arial"/>
        </w:rPr>
        <w:t>Processo decisório;</w:t>
      </w:r>
    </w:p>
    <w:p w:rsidR="002D2845" w:rsidRPr="003D4F7F" w:rsidRDefault="002D2845" w:rsidP="002D2845">
      <w:pPr>
        <w:numPr>
          <w:ilvl w:val="0"/>
          <w:numId w:val="19"/>
        </w:numPr>
        <w:spacing w:before="120" w:after="120"/>
        <w:jc w:val="both"/>
        <w:rPr>
          <w:rFonts w:asciiTheme="minorHAnsi" w:hAnsiTheme="minorHAnsi" w:cs="Arial"/>
        </w:rPr>
      </w:pPr>
      <w:r w:rsidRPr="003D4F7F">
        <w:rPr>
          <w:rFonts w:asciiTheme="minorHAnsi" w:hAnsiTheme="minorHAnsi" w:cs="Arial"/>
        </w:rPr>
        <w:t>Processo de execução dos investimentos (compra e venda);</w:t>
      </w:r>
    </w:p>
    <w:p w:rsidR="002D2845" w:rsidRPr="003D4F7F" w:rsidRDefault="002D2845" w:rsidP="002D2845">
      <w:pPr>
        <w:numPr>
          <w:ilvl w:val="0"/>
          <w:numId w:val="19"/>
        </w:numPr>
        <w:spacing w:before="120" w:after="120"/>
        <w:jc w:val="both"/>
        <w:rPr>
          <w:rFonts w:asciiTheme="minorHAnsi" w:hAnsiTheme="minorHAnsi" w:cs="Arial"/>
        </w:rPr>
      </w:pPr>
      <w:r w:rsidRPr="003D4F7F">
        <w:rPr>
          <w:rFonts w:asciiTheme="minorHAnsi" w:hAnsiTheme="minorHAnsi" w:cs="Arial"/>
        </w:rPr>
        <w:t>Fontes de pesquisa;</w:t>
      </w:r>
    </w:p>
    <w:p w:rsidR="002D2845" w:rsidRPr="003D4F7F" w:rsidRDefault="002D2845" w:rsidP="002D2845">
      <w:pPr>
        <w:numPr>
          <w:ilvl w:val="0"/>
          <w:numId w:val="19"/>
        </w:numPr>
        <w:spacing w:before="120" w:after="120"/>
        <w:jc w:val="both"/>
        <w:rPr>
          <w:rFonts w:asciiTheme="minorHAnsi" w:hAnsiTheme="minorHAnsi" w:cs="Arial"/>
        </w:rPr>
      </w:pPr>
      <w:r w:rsidRPr="003D4F7F">
        <w:rPr>
          <w:rFonts w:asciiTheme="minorHAnsi" w:hAnsiTheme="minorHAnsi" w:cs="Arial"/>
        </w:rPr>
        <w:t>Composição e histórico da equipe;</w:t>
      </w:r>
    </w:p>
    <w:p w:rsidR="002D2845" w:rsidRPr="003D4F7F" w:rsidRDefault="002D2845" w:rsidP="002D2845">
      <w:pPr>
        <w:numPr>
          <w:ilvl w:val="0"/>
          <w:numId w:val="19"/>
        </w:numPr>
        <w:spacing w:before="120" w:after="120"/>
        <w:jc w:val="both"/>
        <w:rPr>
          <w:rFonts w:asciiTheme="minorHAnsi" w:hAnsiTheme="minorHAnsi" w:cs="Arial"/>
        </w:rPr>
      </w:pPr>
      <w:r w:rsidRPr="003D4F7F">
        <w:rPr>
          <w:rFonts w:asciiTheme="minorHAnsi" w:hAnsiTheme="minorHAnsi" w:cs="Arial"/>
        </w:rPr>
        <w:t>Principais distribuidores;</w:t>
      </w:r>
    </w:p>
    <w:p w:rsidR="002D2845" w:rsidRPr="003D4F7F" w:rsidRDefault="002D2845" w:rsidP="002D2845">
      <w:pPr>
        <w:numPr>
          <w:ilvl w:val="0"/>
          <w:numId w:val="19"/>
        </w:numPr>
        <w:spacing w:before="120" w:after="120"/>
        <w:jc w:val="both"/>
        <w:rPr>
          <w:rFonts w:asciiTheme="minorHAnsi" w:hAnsiTheme="minorHAnsi" w:cs="Arial"/>
        </w:rPr>
      </w:pPr>
      <w:r w:rsidRPr="003D4F7F">
        <w:rPr>
          <w:rFonts w:asciiTheme="minorHAnsi" w:hAnsiTheme="minorHAnsi" w:cs="Arial"/>
        </w:rPr>
        <w:t>Corretoras aprovadas;</w:t>
      </w:r>
    </w:p>
    <w:p w:rsidR="002D2845" w:rsidRPr="003D4F7F" w:rsidRDefault="002D2845" w:rsidP="002D2845">
      <w:pPr>
        <w:numPr>
          <w:ilvl w:val="0"/>
          <w:numId w:val="19"/>
        </w:numPr>
        <w:spacing w:before="120" w:after="120"/>
        <w:jc w:val="both"/>
        <w:rPr>
          <w:rFonts w:asciiTheme="minorHAnsi" w:hAnsiTheme="minorHAnsi" w:cs="Arial"/>
        </w:rPr>
      </w:pPr>
      <w:r w:rsidRPr="003D4F7F">
        <w:rPr>
          <w:rFonts w:asciiTheme="minorHAnsi" w:hAnsiTheme="minorHAnsi" w:cs="Arial"/>
        </w:rPr>
        <w:t>Metodologia de risco e</w:t>
      </w:r>
    </w:p>
    <w:p w:rsidR="002D2845" w:rsidRPr="003D4F7F" w:rsidRDefault="002D2845" w:rsidP="002D2845">
      <w:pPr>
        <w:numPr>
          <w:ilvl w:val="0"/>
          <w:numId w:val="19"/>
        </w:numPr>
        <w:spacing w:before="120" w:after="120"/>
        <w:jc w:val="both"/>
        <w:rPr>
          <w:rFonts w:asciiTheme="minorHAnsi" w:hAnsiTheme="minorHAnsi" w:cs="Arial"/>
        </w:rPr>
      </w:pPr>
      <w:proofErr w:type="spellStart"/>
      <w:r w:rsidRPr="003D4F7F">
        <w:rPr>
          <w:rFonts w:asciiTheme="minorHAnsi" w:hAnsiTheme="minorHAnsi" w:cs="Arial"/>
        </w:rPr>
        <w:t>Rating</w:t>
      </w:r>
      <w:proofErr w:type="spellEnd"/>
      <w:r w:rsidRPr="003D4F7F">
        <w:rPr>
          <w:rFonts w:asciiTheme="minorHAnsi" w:hAnsiTheme="minorHAnsi" w:cs="Arial"/>
        </w:rPr>
        <w:t xml:space="preserve"> da agência de avaliação de risco (quando disponível).</w:t>
      </w:r>
    </w:p>
    <w:p w:rsidR="002D2845" w:rsidRPr="003D4F7F" w:rsidRDefault="002D2845" w:rsidP="002D2845">
      <w:pPr>
        <w:spacing w:before="120" w:after="120"/>
        <w:jc w:val="both"/>
        <w:rPr>
          <w:rFonts w:asciiTheme="minorHAnsi" w:hAnsiTheme="minorHAnsi" w:cs="Arial"/>
        </w:rPr>
      </w:pPr>
      <w:r w:rsidRPr="003D4F7F">
        <w:rPr>
          <w:rFonts w:asciiTheme="minorHAnsi" w:hAnsiTheme="minorHAnsi" w:cs="Arial"/>
        </w:rPr>
        <w:t xml:space="preserve">A atualização dos Relatórios de </w:t>
      </w:r>
      <w:proofErr w:type="spellStart"/>
      <w:r w:rsidRPr="003D4F7F">
        <w:rPr>
          <w:rFonts w:asciiTheme="minorHAnsi" w:hAnsiTheme="minorHAnsi" w:cs="Arial"/>
        </w:rPr>
        <w:t>Due</w:t>
      </w:r>
      <w:proofErr w:type="spellEnd"/>
      <w:r w:rsidR="000D2262">
        <w:rPr>
          <w:rFonts w:asciiTheme="minorHAnsi" w:hAnsiTheme="minorHAnsi" w:cs="Arial"/>
        </w:rPr>
        <w:t xml:space="preserve"> </w:t>
      </w:r>
      <w:proofErr w:type="spellStart"/>
      <w:r w:rsidRPr="003D4F7F">
        <w:rPr>
          <w:rFonts w:asciiTheme="minorHAnsi" w:hAnsiTheme="minorHAnsi" w:cs="Arial"/>
        </w:rPr>
        <w:t>Dilligence</w:t>
      </w:r>
      <w:proofErr w:type="spellEnd"/>
      <w:r w:rsidRPr="003D4F7F">
        <w:rPr>
          <w:rFonts w:asciiTheme="minorHAnsi" w:hAnsiTheme="minorHAnsi" w:cs="Arial"/>
        </w:rPr>
        <w:t xml:space="preserve"> acompanha a atualização do referido credenciamento.</w:t>
      </w:r>
    </w:p>
    <w:p w:rsidR="002D2845" w:rsidRPr="003D4F7F" w:rsidRDefault="002D2845" w:rsidP="002D2845">
      <w:pPr>
        <w:spacing w:before="120" w:after="120"/>
        <w:jc w:val="both"/>
        <w:rPr>
          <w:rFonts w:asciiTheme="minorHAnsi" w:hAnsiTheme="minorHAnsi" w:cs="Arial"/>
          <w:bCs/>
        </w:rPr>
      </w:pPr>
    </w:p>
    <w:p w:rsidR="002D2845" w:rsidRPr="003D4F7F" w:rsidRDefault="002D2845" w:rsidP="002D2845">
      <w:pPr>
        <w:pStyle w:val="Ttulo"/>
        <w:numPr>
          <w:ilvl w:val="0"/>
          <w:numId w:val="18"/>
        </w:numPr>
        <w:spacing w:before="120" w:after="120"/>
        <w:jc w:val="left"/>
        <w:rPr>
          <w:rFonts w:asciiTheme="minorHAnsi" w:hAnsiTheme="minorHAnsi" w:cs="Arial"/>
          <w:sz w:val="24"/>
          <w:szCs w:val="24"/>
        </w:rPr>
      </w:pPr>
      <w:bookmarkStart w:id="20" w:name="_Toc404173779"/>
      <w:r w:rsidRPr="003D4F7F">
        <w:rPr>
          <w:rFonts w:asciiTheme="minorHAnsi" w:hAnsiTheme="minorHAnsi" w:cs="Arial"/>
          <w:sz w:val="24"/>
          <w:szCs w:val="24"/>
        </w:rPr>
        <w:t>ACOMPANHAMENTO E CONTROLE</w:t>
      </w:r>
      <w:bookmarkEnd w:id="20"/>
    </w:p>
    <w:p w:rsidR="002D2845" w:rsidRPr="003D4F7F" w:rsidRDefault="002D2845" w:rsidP="002D2845">
      <w:pPr>
        <w:spacing w:before="120" w:after="120"/>
        <w:jc w:val="both"/>
        <w:rPr>
          <w:rFonts w:asciiTheme="minorHAnsi" w:hAnsiTheme="minorHAnsi" w:cs="Arial"/>
        </w:rPr>
      </w:pPr>
      <w:r w:rsidRPr="003D4F7F">
        <w:rPr>
          <w:rFonts w:asciiTheme="minorHAnsi" w:hAnsiTheme="minorHAnsi" w:cs="Arial"/>
        </w:rPr>
        <w:t>A legislação atual impõe para todos os RPPS um modelo de gestão participativa em que os órgãos deliberativos, os gestores do RPPS e o comitê de investimentos estabelecem a estrutura de controle mais adequada de forma que todos os objetivos sejam atingidos.</w:t>
      </w:r>
    </w:p>
    <w:p w:rsidR="002D2845" w:rsidRPr="003D4F7F" w:rsidRDefault="002D2845" w:rsidP="002D2845">
      <w:pPr>
        <w:spacing w:before="120" w:after="120"/>
        <w:jc w:val="both"/>
        <w:rPr>
          <w:rFonts w:asciiTheme="minorHAnsi" w:hAnsiTheme="minorHAnsi" w:cs="Arial"/>
        </w:rPr>
      </w:pPr>
      <w:r w:rsidRPr="003D4F7F">
        <w:rPr>
          <w:rFonts w:asciiTheme="minorHAnsi" w:hAnsiTheme="minorHAnsi" w:cs="Arial"/>
        </w:rPr>
        <w:t xml:space="preserve">A finalidade da gestão dos ativos </w:t>
      </w:r>
      <w:proofErr w:type="gramStart"/>
      <w:r w:rsidRPr="003D4F7F">
        <w:rPr>
          <w:rFonts w:asciiTheme="minorHAnsi" w:hAnsiTheme="minorHAnsi" w:cs="Arial"/>
        </w:rPr>
        <w:t>da(</w:t>
      </w:r>
      <w:proofErr w:type="gramEnd"/>
      <w:r w:rsidRPr="003D4F7F">
        <w:rPr>
          <w:rFonts w:asciiTheme="minorHAnsi" w:hAnsiTheme="minorHAnsi" w:cs="Arial"/>
        </w:rPr>
        <w:t>o) Colombo Previdência é proporcionar rendimentos e ganhos de capital nos investimentos oriundos das contribuições e do estoque de recursos acumulados.</w:t>
      </w:r>
    </w:p>
    <w:p w:rsidR="002D2845" w:rsidRPr="003D4F7F" w:rsidRDefault="002D2845" w:rsidP="002D2845">
      <w:pPr>
        <w:spacing w:before="120" w:after="120"/>
        <w:jc w:val="both"/>
        <w:rPr>
          <w:rFonts w:asciiTheme="minorHAnsi" w:hAnsiTheme="minorHAnsi" w:cs="Arial"/>
        </w:rPr>
      </w:pPr>
      <w:r w:rsidRPr="003D4F7F">
        <w:rPr>
          <w:rFonts w:asciiTheme="minorHAnsi" w:hAnsiTheme="minorHAnsi" w:cs="Arial"/>
        </w:rPr>
        <w:t xml:space="preserve">O controle contínuo da rentabilidade absoluta e relativa e do seu comportamento de longo prazo deverá permitir a eficiência no processo de tomada de decisão e consolidação dos investimentos. Assim, foram estabelecidos critérios de desempenho </w:t>
      </w:r>
      <w:r w:rsidRPr="003D4F7F">
        <w:rPr>
          <w:rFonts w:asciiTheme="minorHAnsi" w:hAnsiTheme="minorHAnsi" w:cs="Arial"/>
        </w:rPr>
        <w:lastRenderedPageBreak/>
        <w:t xml:space="preserve">que </w:t>
      </w:r>
      <w:proofErr w:type="gramStart"/>
      <w:r w:rsidRPr="003D4F7F">
        <w:rPr>
          <w:rFonts w:asciiTheme="minorHAnsi" w:hAnsiTheme="minorHAnsi" w:cs="Arial"/>
        </w:rPr>
        <w:t>envolvem</w:t>
      </w:r>
      <w:proofErr w:type="gramEnd"/>
      <w:r w:rsidRPr="003D4F7F">
        <w:rPr>
          <w:rFonts w:asciiTheme="minorHAnsi" w:hAnsiTheme="minorHAnsi" w:cs="Arial"/>
        </w:rPr>
        <w:t xml:space="preserve"> os fundos de investimentos que serão continuamente acompanhadas devendo resultar em uma realocação imediata em caso de descumprimento dos critérios aqui estabelecidos, os quais se seguem:</w:t>
      </w:r>
    </w:p>
    <w:p w:rsidR="002D2845" w:rsidRPr="003D4F7F" w:rsidRDefault="002D2845" w:rsidP="002D2845">
      <w:pPr>
        <w:pStyle w:val="PargrafodaLista"/>
        <w:numPr>
          <w:ilvl w:val="0"/>
          <w:numId w:val="20"/>
        </w:numPr>
        <w:spacing w:before="120" w:after="120"/>
        <w:contextualSpacing w:val="0"/>
        <w:jc w:val="both"/>
        <w:rPr>
          <w:rFonts w:asciiTheme="minorHAnsi" w:hAnsiTheme="minorHAnsi" w:cs="Arial"/>
        </w:rPr>
      </w:pPr>
      <w:r w:rsidRPr="003D4F7F">
        <w:rPr>
          <w:rFonts w:asciiTheme="minorHAnsi" w:hAnsiTheme="minorHAnsi" w:cs="Arial"/>
        </w:rPr>
        <w:t>Fundos de ações e multimercados – rentabilidade acumulada nos últimos 24 meses inferior ao índice de referência e ao seu grupo de similares (</w:t>
      </w:r>
      <w:proofErr w:type="spellStart"/>
      <w:r w:rsidRPr="003D4F7F">
        <w:rPr>
          <w:rFonts w:asciiTheme="minorHAnsi" w:hAnsiTheme="minorHAnsi" w:cs="Arial"/>
        </w:rPr>
        <w:t>peers</w:t>
      </w:r>
      <w:proofErr w:type="spellEnd"/>
      <w:r w:rsidRPr="003D4F7F">
        <w:rPr>
          <w:rFonts w:asciiTheme="minorHAnsi" w:hAnsiTheme="minorHAnsi" w:cs="Arial"/>
        </w:rPr>
        <w:t>);</w:t>
      </w:r>
    </w:p>
    <w:p w:rsidR="002D2845" w:rsidRPr="003D4F7F" w:rsidRDefault="002D2845" w:rsidP="002D2845">
      <w:pPr>
        <w:pStyle w:val="PargrafodaLista"/>
        <w:numPr>
          <w:ilvl w:val="0"/>
          <w:numId w:val="20"/>
        </w:numPr>
        <w:spacing w:before="120" w:after="120"/>
        <w:contextualSpacing w:val="0"/>
        <w:jc w:val="both"/>
        <w:rPr>
          <w:rFonts w:asciiTheme="minorHAnsi" w:hAnsiTheme="minorHAnsi" w:cs="Arial"/>
        </w:rPr>
      </w:pPr>
      <w:r w:rsidRPr="003D4F7F">
        <w:rPr>
          <w:rFonts w:asciiTheme="minorHAnsi" w:hAnsiTheme="minorHAnsi" w:cs="Arial"/>
        </w:rPr>
        <w:t>Fundos de renda fixa – rentabilidade acumulada nos últimos 12 meses inferior ao índice de referência e ao seu grupo de similares (</w:t>
      </w:r>
      <w:proofErr w:type="spellStart"/>
      <w:r w:rsidRPr="003D4F7F">
        <w:rPr>
          <w:rFonts w:asciiTheme="minorHAnsi" w:hAnsiTheme="minorHAnsi" w:cs="Arial"/>
        </w:rPr>
        <w:t>peers</w:t>
      </w:r>
      <w:proofErr w:type="spellEnd"/>
      <w:r w:rsidRPr="003D4F7F">
        <w:rPr>
          <w:rFonts w:asciiTheme="minorHAnsi" w:hAnsiTheme="minorHAnsi" w:cs="Arial"/>
        </w:rPr>
        <w:t>);</w:t>
      </w:r>
    </w:p>
    <w:p w:rsidR="002D2845" w:rsidRPr="003D4F7F" w:rsidRDefault="002D2845" w:rsidP="002D2845">
      <w:pPr>
        <w:spacing w:before="120" w:after="120"/>
        <w:jc w:val="both"/>
        <w:rPr>
          <w:rFonts w:asciiTheme="minorHAnsi" w:hAnsiTheme="minorHAnsi" w:cs="Arial"/>
        </w:rPr>
      </w:pPr>
      <w:r w:rsidRPr="003D4F7F">
        <w:rPr>
          <w:rFonts w:asciiTheme="minorHAnsi" w:hAnsiTheme="minorHAnsi" w:cs="Arial"/>
        </w:rPr>
        <w:t>Adicionalmente serão calculados para os fundos de investimentos os seguintes indicadores de risco para efeitos de acompanhamento:</w:t>
      </w:r>
    </w:p>
    <w:p w:rsidR="002D2845" w:rsidRPr="003D4F7F" w:rsidRDefault="002D2845" w:rsidP="002D2845">
      <w:pPr>
        <w:pStyle w:val="PargrafodaLista"/>
        <w:numPr>
          <w:ilvl w:val="0"/>
          <w:numId w:val="21"/>
        </w:numPr>
        <w:spacing w:before="120" w:after="120"/>
        <w:ind w:left="714" w:hanging="357"/>
        <w:contextualSpacing w:val="0"/>
        <w:jc w:val="both"/>
        <w:rPr>
          <w:rFonts w:asciiTheme="minorHAnsi" w:hAnsiTheme="minorHAnsi" w:cs="Arial"/>
          <w:lang w:val="en-US"/>
        </w:rPr>
      </w:pPr>
      <w:r w:rsidRPr="003D4F7F">
        <w:rPr>
          <w:rFonts w:asciiTheme="minorHAnsi" w:hAnsiTheme="minorHAnsi" w:cs="Arial"/>
          <w:lang w:val="en-US"/>
        </w:rPr>
        <w:t>Sharpe;</w:t>
      </w:r>
    </w:p>
    <w:p w:rsidR="002D2845" w:rsidRPr="003D4F7F" w:rsidRDefault="002D2845" w:rsidP="002D2845">
      <w:pPr>
        <w:pStyle w:val="PargrafodaLista"/>
        <w:numPr>
          <w:ilvl w:val="0"/>
          <w:numId w:val="21"/>
        </w:numPr>
        <w:spacing w:before="120" w:after="120"/>
        <w:ind w:left="714" w:hanging="357"/>
        <w:contextualSpacing w:val="0"/>
        <w:jc w:val="both"/>
        <w:rPr>
          <w:rFonts w:asciiTheme="minorHAnsi" w:hAnsiTheme="minorHAnsi" w:cs="Arial"/>
          <w:lang w:val="en-US"/>
        </w:rPr>
      </w:pPr>
      <w:proofErr w:type="spellStart"/>
      <w:r w:rsidRPr="003D4F7F">
        <w:rPr>
          <w:rFonts w:asciiTheme="minorHAnsi" w:hAnsiTheme="minorHAnsi" w:cs="Arial"/>
          <w:lang w:val="en-US"/>
        </w:rPr>
        <w:t>Treynor</w:t>
      </w:r>
      <w:proofErr w:type="spellEnd"/>
      <w:r w:rsidRPr="003D4F7F">
        <w:rPr>
          <w:rFonts w:asciiTheme="minorHAnsi" w:hAnsiTheme="minorHAnsi" w:cs="Arial"/>
          <w:lang w:val="en-US"/>
        </w:rPr>
        <w:t>;</w:t>
      </w:r>
    </w:p>
    <w:p w:rsidR="002D2845" w:rsidRPr="003D4F7F" w:rsidRDefault="002D2845" w:rsidP="002D2845">
      <w:pPr>
        <w:pStyle w:val="PargrafodaLista"/>
        <w:numPr>
          <w:ilvl w:val="0"/>
          <w:numId w:val="21"/>
        </w:numPr>
        <w:spacing w:before="120" w:after="120"/>
        <w:ind w:left="714" w:hanging="357"/>
        <w:contextualSpacing w:val="0"/>
        <w:jc w:val="both"/>
        <w:rPr>
          <w:rFonts w:asciiTheme="minorHAnsi" w:hAnsiTheme="minorHAnsi" w:cs="Arial"/>
          <w:lang w:val="en-US"/>
        </w:rPr>
      </w:pPr>
      <w:proofErr w:type="spellStart"/>
      <w:r w:rsidRPr="003D4F7F">
        <w:rPr>
          <w:rFonts w:asciiTheme="minorHAnsi" w:hAnsiTheme="minorHAnsi" w:cs="Arial"/>
          <w:lang w:val="en-US"/>
        </w:rPr>
        <w:t>Sortino</w:t>
      </w:r>
      <w:proofErr w:type="spellEnd"/>
      <w:r w:rsidRPr="003D4F7F">
        <w:rPr>
          <w:rFonts w:asciiTheme="minorHAnsi" w:hAnsiTheme="minorHAnsi" w:cs="Arial"/>
          <w:lang w:val="en-US"/>
        </w:rPr>
        <w:t>;</w:t>
      </w:r>
    </w:p>
    <w:p w:rsidR="002D2845" w:rsidRPr="003D4F7F" w:rsidRDefault="002D2845" w:rsidP="002D2845">
      <w:pPr>
        <w:pStyle w:val="PargrafodaLista"/>
        <w:numPr>
          <w:ilvl w:val="0"/>
          <w:numId w:val="21"/>
        </w:numPr>
        <w:spacing w:before="120" w:after="120"/>
        <w:ind w:left="714" w:hanging="357"/>
        <w:contextualSpacing w:val="0"/>
        <w:jc w:val="both"/>
        <w:rPr>
          <w:rFonts w:asciiTheme="minorHAnsi" w:hAnsiTheme="minorHAnsi" w:cs="Arial"/>
          <w:lang w:val="en-US"/>
        </w:rPr>
      </w:pPr>
      <w:r w:rsidRPr="003D4F7F">
        <w:rPr>
          <w:rFonts w:asciiTheme="minorHAnsi" w:hAnsiTheme="minorHAnsi" w:cs="Arial"/>
          <w:lang w:val="en-US"/>
        </w:rPr>
        <w:t>Tracking Error;</w:t>
      </w:r>
    </w:p>
    <w:p w:rsidR="002D2845" w:rsidRPr="003D4F7F" w:rsidRDefault="002D2845" w:rsidP="002D2845">
      <w:pPr>
        <w:pStyle w:val="PargrafodaLista"/>
        <w:numPr>
          <w:ilvl w:val="0"/>
          <w:numId w:val="21"/>
        </w:numPr>
        <w:spacing w:before="120" w:after="120"/>
        <w:ind w:left="714" w:hanging="357"/>
        <w:contextualSpacing w:val="0"/>
        <w:jc w:val="both"/>
        <w:rPr>
          <w:rFonts w:asciiTheme="minorHAnsi" w:hAnsiTheme="minorHAnsi" w:cs="Arial"/>
        </w:rPr>
      </w:pPr>
      <w:r w:rsidRPr="003D4F7F">
        <w:rPr>
          <w:rFonts w:asciiTheme="minorHAnsi" w:hAnsiTheme="minorHAnsi" w:cs="Arial"/>
        </w:rPr>
        <w:t>Distorção (</w:t>
      </w:r>
      <w:proofErr w:type="spellStart"/>
      <w:r w:rsidRPr="003D4F7F">
        <w:rPr>
          <w:rFonts w:asciiTheme="minorHAnsi" w:hAnsiTheme="minorHAnsi" w:cs="Arial"/>
        </w:rPr>
        <w:t>skewness</w:t>
      </w:r>
      <w:proofErr w:type="spellEnd"/>
      <w:r w:rsidRPr="003D4F7F">
        <w:rPr>
          <w:rFonts w:asciiTheme="minorHAnsi" w:hAnsiTheme="minorHAnsi" w:cs="Arial"/>
        </w:rPr>
        <w:t>);</w:t>
      </w:r>
    </w:p>
    <w:p w:rsidR="002D2845" w:rsidRPr="003D4F7F" w:rsidRDefault="002D2845" w:rsidP="002D2845">
      <w:pPr>
        <w:pStyle w:val="PargrafodaLista"/>
        <w:numPr>
          <w:ilvl w:val="0"/>
          <w:numId w:val="21"/>
        </w:numPr>
        <w:spacing w:before="120" w:after="120"/>
        <w:ind w:left="714" w:hanging="357"/>
        <w:contextualSpacing w:val="0"/>
        <w:jc w:val="both"/>
        <w:rPr>
          <w:rFonts w:asciiTheme="minorHAnsi" w:hAnsiTheme="minorHAnsi" w:cs="Arial"/>
        </w:rPr>
      </w:pPr>
      <w:r w:rsidRPr="003D4F7F">
        <w:rPr>
          <w:rFonts w:asciiTheme="minorHAnsi" w:hAnsiTheme="minorHAnsi" w:cs="Arial"/>
        </w:rPr>
        <w:t>Curtose</w:t>
      </w:r>
    </w:p>
    <w:p w:rsidR="002D2845" w:rsidRPr="003D4F7F" w:rsidRDefault="002D2845" w:rsidP="002D2845">
      <w:pPr>
        <w:spacing w:before="120" w:after="120"/>
        <w:jc w:val="both"/>
        <w:rPr>
          <w:rFonts w:asciiTheme="minorHAnsi" w:hAnsiTheme="minorHAnsi" w:cs="Arial"/>
        </w:rPr>
      </w:pPr>
    </w:p>
    <w:p w:rsidR="002D2845" w:rsidRPr="003D4F7F" w:rsidRDefault="002D2845" w:rsidP="002D2845">
      <w:pPr>
        <w:pStyle w:val="Subttulo"/>
        <w:spacing w:before="120" w:after="120"/>
        <w:jc w:val="left"/>
        <w:outlineLvl w:val="9"/>
        <w:rPr>
          <w:rFonts w:asciiTheme="minorHAnsi" w:hAnsiTheme="minorHAnsi" w:cs="Arial"/>
          <w:b/>
        </w:rPr>
      </w:pPr>
      <w:r w:rsidRPr="003D4F7F">
        <w:rPr>
          <w:rFonts w:asciiTheme="minorHAnsi" w:hAnsiTheme="minorHAnsi" w:cs="Arial"/>
          <w:b/>
        </w:rPr>
        <w:t>9.1. DESENQUADRAMENTO</w:t>
      </w:r>
    </w:p>
    <w:p w:rsidR="002D2845" w:rsidRPr="003D4F7F" w:rsidRDefault="002D2845" w:rsidP="002D2845">
      <w:pPr>
        <w:spacing w:before="120" w:after="120"/>
        <w:jc w:val="both"/>
        <w:rPr>
          <w:rFonts w:asciiTheme="minorHAnsi" w:hAnsiTheme="minorHAnsi" w:cs="Arial"/>
        </w:rPr>
      </w:pPr>
      <w:bookmarkStart w:id="21" w:name="_Toc219780924"/>
      <w:bookmarkStart w:id="22" w:name="_Toc280352481"/>
      <w:r w:rsidRPr="003D4F7F">
        <w:rPr>
          <w:rFonts w:asciiTheme="minorHAnsi" w:hAnsiTheme="minorHAnsi" w:cs="Arial"/>
        </w:rPr>
        <w:t>Entende-se por desenquadramento, os diferentes tipos a seguir:</w:t>
      </w:r>
    </w:p>
    <w:p w:rsidR="002D2845" w:rsidRPr="003D4F7F" w:rsidRDefault="002D2845" w:rsidP="002D2845">
      <w:pPr>
        <w:pStyle w:val="PargrafodaLista"/>
        <w:numPr>
          <w:ilvl w:val="0"/>
          <w:numId w:val="22"/>
        </w:numPr>
        <w:spacing w:before="120" w:after="120"/>
        <w:ind w:left="714" w:hanging="357"/>
        <w:contextualSpacing w:val="0"/>
        <w:jc w:val="both"/>
        <w:rPr>
          <w:rFonts w:asciiTheme="minorHAnsi" w:hAnsiTheme="minorHAnsi" w:cs="Arial"/>
        </w:rPr>
      </w:pPr>
      <w:r w:rsidRPr="003D4F7F">
        <w:rPr>
          <w:rFonts w:asciiTheme="minorHAnsi" w:hAnsiTheme="minorHAnsi" w:cs="Arial"/>
        </w:rPr>
        <w:t>Passivo</w:t>
      </w:r>
    </w:p>
    <w:p w:rsidR="002D2845" w:rsidRPr="003D4F7F" w:rsidRDefault="002D2845" w:rsidP="002D2845">
      <w:pPr>
        <w:pStyle w:val="PargrafodaLista"/>
        <w:numPr>
          <w:ilvl w:val="0"/>
          <w:numId w:val="22"/>
        </w:numPr>
        <w:spacing w:before="120" w:after="120"/>
        <w:ind w:left="714" w:hanging="357"/>
        <w:contextualSpacing w:val="0"/>
        <w:jc w:val="both"/>
        <w:rPr>
          <w:rFonts w:asciiTheme="minorHAnsi" w:hAnsiTheme="minorHAnsi" w:cs="Arial"/>
        </w:rPr>
      </w:pPr>
      <w:r w:rsidRPr="003D4F7F">
        <w:rPr>
          <w:rFonts w:asciiTheme="minorHAnsi" w:hAnsiTheme="minorHAnsi" w:cs="Arial"/>
        </w:rPr>
        <w:t>Ativos</w:t>
      </w:r>
    </w:p>
    <w:p w:rsidR="002D2845" w:rsidRPr="003D4F7F" w:rsidRDefault="002D2845" w:rsidP="002D2845">
      <w:pPr>
        <w:pStyle w:val="PargrafodaLista"/>
        <w:numPr>
          <w:ilvl w:val="0"/>
          <w:numId w:val="22"/>
        </w:numPr>
        <w:spacing w:before="120" w:after="120"/>
        <w:ind w:left="714" w:hanging="357"/>
        <w:contextualSpacing w:val="0"/>
        <w:jc w:val="both"/>
        <w:rPr>
          <w:rFonts w:asciiTheme="minorHAnsi" w:hAnsiTheme="minorHAnsi" w:cs="Arial"/>
        </w:rPr>
      </w:pPr>
      <w:r w:rsidRPr="003D4F7F">
        <w:rPr>
          <w:rFonts w:asciiTheme="minorHAnsi" w:hAnsiTheme="minorHAnsi" w:cs="Arial"/>
        </w:rPr>
        <w:t>Em relação à Política de investimentos.</w:t>
      </w:r>
    </w:p>
    <w:p w:rsidR="002D2845" w:rsidRPr="003D4F7F" w:rsidRDefault="002D2845" w:rsidP="002D2845">
      <w:pPr>
        <w:spacing w:before="120" w:after="120"/>
        <w:jc w:val="both"/>
        <w:rPr>
          <w:rFonts w:asciiTheme="minorHAnsi" w:hAnsiTheme="minorHAnsi" w:cs="Arial"/>
        </w:rPr>
      </w:pPr>
      <w:r w:rsidRPr="003D4F7F">
        <w:rPr>
          <w:rFonts w:asciiTheme="minorHAnsi" w:hAnsiTheme="minorHAnsi" w:cs="Arial"/>
        </w:rPr>
        <w:t>O desenquadramento passivo decorre da valorização desigual de determinados ativos e/ou classe de ativos em relação ao restante da carteira de investimentos ocasionando o aumento de participação dessas determinadas classes que ultrapasse os limites previstos na legislação. Atualmente este tipo de desenquadramento tem amparo da Resolução CMN n° 3.922/2010 no artigo 22, que concede o prazo de 180 dias para regularização a contar da data da ocorrência.</w:t>
      </w:r>
    </w:p>
    <w:p w:rsidR="002D2845" w:rsidRPr="003D4F7F" w:rsidRDefault="002D2845" w:rsidP="002D2845">
      <w:pPr>
        <w:spacing w:before="120" w:after="120"/>
        <w:jc w:val="both"/>
        <w:rPr>
          <w:rFonts w:asciiTheme="minorHAnsi" w:hAnsiTheme="minorHAnsi" w:cs="Arial"/>
        </w:rPr>
      </w:pPr>
      <w:r w:rsidRPr="003D4F7F">
        <w:rPr>
          <w:rFonts w:asciiTheme="minorHAnsi" w:hAnsiTheme="minorHAnsi" w:cs="Arial"/>
        </w:rPr>
        <w:t>O desenquadramento ativo decorre das aplicações efetivamente realizadas em desacordo com a Resolução CMN 3.922/2010.</w:t>
      </w:r>
    </w:p>
    <w:p w:rsidR="002D2845" w:rsidRPr="003D4F7F" w:rsidRDefault="002D2845" w:rsidP="002D2845">
      <w:pPr>
        <w:spacing w:before="120" w:after="120"/>
        <w:jc w:val="both"/>
        <w:rPr>
          <w:rFonts w:asciiTheme="minorHAnsi" w:hAnsiTheme="minorHAnsi" w:cs="Arial"/>
        </w:rPr>
      </w:pPr>
      <w:r w:rsidRPr="003D4F7F">
        <w:rPr>
          <w:rFonts w:asciiTheme="minorHAnsi" w:hAnsiTheme="minorHAnsi" w:cs="Arial"/>
        </w:rPr>
        <w:t>O desenquadramento em relação à política de investimentos ocorre pelo desvio na composição da carteira de investimentos em relação à alocação objetiva adotada para o exercício. Este desenquadramento não fere a Resolução CMN 3.922/2010, no entanto, confronta com a exigência do Ministério da Previdência Social quanto à necessidade de posição na Política de Investimentos das alocações a serem realizadas.</w:t>
      </w:r>
    </w:p>
    <w:p w:rsidR="002D2845" w:rsidRPr="003D4F7F" w:rsidRDefault="002D2845" w:rsidP="002D2845">
      <w:pPr>
        <w:spacing w:before="120" w:after="120"/>
        <w:jc w:val="both"/>
        <w:rPr>
          <w:rFonts w:asciiTheme="minorHAnsi" w:hAnsiTheme="minorHAnsi" w:cs="Arial"/>
        </w:rPr>
      </w:pPr>
      <w:r w:rsidRPr="003D4F7F">
        <w:rPr>
          <w:rFonts w:asciiTheme="minorHAnsi" w:hAnsiTheme="minorHAnsi" w:cs="Arial"/>
        </w:rPr>
        <w:t>No entanto, em decorrência de mudanças estruturais ou conjunturais no mercado financeiro e de capitais, os objetivos de alocação dos RPPS podem ensejar alterações na Política de Investimentos.</w:t>
      </w:r>
    </w:p>
    <w:p w:rsidR="002D2845" w:rsidRPr="003D4F7F" w:rsidRDefault="002D2845" w:rsidP="002D2845">
      <w:pPr>
        <w:spacing w:before="120" w:after="120"/>
        <w:jc w:val="both"/>
        <w:rPr>
          <w:rFonts w:asciiTheme="minorHAnsi" w:hAnsiTheme="minorHAnsi" w:cs="Arial"/>
        </w:rPr>
      </w:pPr>
      <w:r w:rsidRPr="003D4F7F">
        <w:rPr>
          <w:rFonts w:asciiTheme="minorHAnsi" w:hAnsiTheme="minorHAnsi" w:cs="Arial"/>
        </w:rPr>
        <w:lastRenderedPageBreak/>
        <w:t xml:space="preserve">O tratamento exigido quanto aos </w:t>
      </w:r>
      <w:proofErr w:type="spellStart"/>
      <w:r w:rsidRPr="003D4F7F">
        <w:rPr>
          <w:rFonts w:asciiTheme="minorHAnsi" w:hAnsiTheme="minorHAnsi" w:cs="Arial"/>
        </w:rPr>
        <w:t>desenquadramentos</w:t>
      </w:r>
      <w:proofErr w:type="spellEnd"/>
      <w:r w:rsidRPr="003D4F7F">
        <w:rPr>
          <w:rFonts w:asciiTheme="minorHAnsi" w:hAnsiTheme="minorHAnsi" w:cs="Arial"/>
        </w:rPr>
        <w:t>, decai sobre os responsáveis pela gestão do Colombo Previdência e demais responsáveis assim estipulados legalmente.</w:t>
      </w:r>
    </w:p>
    <w:p w:rsidR="0072037D" w:rsidRPr="003D4F7F" w:rsidRDefault="0072037D" w:rsidP="002D2845">
      <w:pPr>
        <w:spacing w:before="120" w:after="120"/>
        <w:jc w:val="both"/>
        <w:rPr>
          <w:rFonts w:asciiTheme="minorHAnsi" w:hAnsiTheme="minorHAnsi" w:cs="Arial"/>
          <w:b/>
        </w:rPr>
      </w:pPr>
    </w:p>
    <w:p w:rsidR="002D2845" w:rsidRPr="003D4F7F" w:rsidRDefault="002D2845" w:rsidP="002D2845">
      <w:pPr>
        <w:pStyle w:val="Ttulo"/>
        <w:numPr>
          <w:ilvl w:val="0"/>
          <w:numId w:val="18"/>
        </w:numPr>
        <w:spacing w:before="120" w:after="120"/>
        <w:jc w:val="left"/>
        <w:rPr>
          <w:rFonts w:asciiTheme="minorHAnsi" w:hAnsiTheme="minorHAnsi" w:cs="Arial"/>
          <w:sz w:val="24"/>
          <w:szCs w:val="24"/>
        </w:rPr>
      </w:pPr>
      <w:bookmarkStart w:id="23" w:name="_Toc404173780"/>
      <w:r w:rsidRPr="003D4F7F">
        <w:rPr>
          <w:rFonts w:asciiTheme="minorHAnsi" w:hAnsiTheme="minorHAnsi" w:cs="Arial"/>
          <w:sz w:val="24"/>
          <w:szCs w:val="24"/>
        </w:rPr>
        <w:t>ESTRATÉGIA DE ALOCAÇÃO DOS RECURSOS</w:t>
      </w:r>
      <w:bookmarkEnd w:id="21"/>
      <w:bookmarkEnd w:id="22"/>
      <w:bookmarkEnd w:id="23"/>
    </w:p>
    <w:p w:rsidR="002D2845" w:rsidRPr="003D4F7F" w:rsidRDefault="002D2845" w:rsidP="002D2845">
      <w:pPr>
        <w:spacing w:before="120" w:after="120"/>
        <w:jc w:val="both"/>
        <w:rPr>
          <w:rFonts w:asciiTheme="minorHAnsi" w:hAnsiTheme="minorHAnsi" w:cs="Arial"/>
        </w:rPr>
      </w:pPr>
      <w:r w:rsidRPr="003D4F7F">
        <w:rPr>
          <w:rFonts w:asciiTheme="minorHAnsi" w:hAnsiTheme="minorHAnsi" w:cs="Arial"/>
        </w:rPr>
        <w:t>A estratégia de alocação dos recursos do RPPS contempla os segmentos de aplicação apresentados abaixo, bem como as classes de ativos apresentadas na Tabela de Alocação Objetivo, conforme reza a Resolução 3.922/2010 do CMN.</w:t>
      </w:r>
      <w:bookmarkStart w:id="24" w:name="_Toc280352482"/>
    </w:p>
    <w:p w:rsidR="002D2845" w:rsidRPr="003D4F7F" w:rsidRDefault="002D2845" w:rsidP="002D2845">
      <w:pPr>
        <w:spacing w:before="120" w:after="120"/>
        <w:jc w:val="both"/>
        <w:rPr>
          <w:rFonts w:asciiTheme="minorHAnsi" w:hAnsiTheme="minorHAnsi" w:cs="Arial"/>
          <w:b/>
        </w:rPr>
      </w:pPr>
    </w:p>
    <w:p w:rsidR="002D2845" w:rsidRPr="003D4F7F" w:rsidRDefault="002D2845" w:rsidP="002D2845">
      <w:pPr>
        <w:pStyle w:val="Subttulo"/>
        <w:spacing w:before="120" w:after="120"/>
        <w:jc w:val="left"/>
        <w:outlineLvl w:val="9"/>
        <w:rPr>
          <w:rFonts w:asciiTheme="minorHAnsi" w:hAnsiTheme="minorHAnsi" w:cs="Arial"/>
          <w:b/>
        </w:rPr>
      </w:pPr>
      <w:r w:rsidRPr="003D4F7F">
        <w:rPr>
          <w:rFonts w:asciiTheme="minorHAnsi" w:hAnsiTheme="minorHAnsi" w:cs="Arial"/>
          <w:b/>
        </w:rPr>
        <w:t>10.1. SEGMENTOS DE APLICAÇÃO</w:t>
      </w:r>
      <w:bookmarkEnd w:id="24"/>
    </w:p>
    <w:p w:rsidR="002D2845" w:rsidRPr="003D4F7F" w:rsidRDefault="002D2845" w:rsidP="002D2845">
      <w:pPr>
        <w:spacing w:before="120" w:after="120"/>
        <w:jc w:val="both"/>
        <w:rPr>
          <w:rFonts w:asciiTheme="minorHAnsi" w:hAnsiTheme="minorHAnsi" w:cs="Arial"/>
          <w:b/>
        </w:rPr>
      </w:pPr>
      <w:r w:rsidRPr="003D4F7F">
        <w:rPr>
          <w:rFonts w:asciiTheme="minorHAnsi" w:hAnsiTheme="minorHAnsi" w:cs="Arial"/>
        </w:rPr>
        <w:t>Os recursos do</w:t>
      </w:r>
      <w:r w:rsidR="0072037D">
        <w:rPr>
          <w:rFonts w:asciiTheme="minorHAnsi" w:hAnsiTheme="minorHAnsi" w:cs="Arial"/>
        </w:rPr>
        <w:t xml:space="preserve"> </w:t>
      </w:r>
      <w:r w:rsidRPr="003D4F7F">
        <w:rPr>
          <w:rFonts w:asciiTheme="minorHAnsi" w:hAnsiTheme="minorHAnsi" w:cs="Arial"/>
        </w:rPr>
        <w:t>Colombo Previdência, conforme a legislação em vigor</w:t>
      </w:r>
      <w:r w:rsidR="0072037D">
        <w:rPr>
          <w:rFonts w:asciiTheme="minorHAnsi" w:hAnsiTheme="minorHAnsi" w:cs="Arial"/>
        </w:rPr>
        <w:t xml:space="preserve"> </w:t>
      </w:r>
      <w:proofErr w:type="gramStart"/>
      <w:r w:rsidRPr="003D4F7F">
        <w:rPr>
          <w:rFonts w:asciiTheme="minorHAnsi" w:hAnsiTheme="minorHAnsi" w:cs="Arial"/>
        </w:rPr>
        <w:t>serão,</w:t>
      </w:r>
      <w:proofErr w:type="gramEnd"/>
      <w:r w:rsidRPr="003D4F7F">
        <w:rPr>
          <w:rFonts w:asciiTheme="minorHAnsi" w:hAnsiTheme="minorHAnsi" w:cs="Arial"/>
        </w:rPr>
        <w:t xml:space="preserve"> alocados nos seguintes segmentos:</w:t>
      </w:r>
    </w:p>
    <w:p w:rsidR="002D2845" w:rsidRPr="003D4F7F" w:rsidRDefault="002D2845" w:rsidP="002D2845">
      <w:pPr>
        <w:numPr>
          <w:ilvl w:val="0"/>
          <w:numId w:val="10"/>
        </w:numPr>
        <w:spacing w:before="120" w:after="120"/>
        <w:jc w:val="both"/>
        <w:rPr>
          <w:rFonts w:asciiTheme="minorHAnsi" w:hAnsiTheme="minorHAnsi" w:cs="Arial"/>
          <w:b/>
        </w:rPr>
      </w:pPr>
      <w:r w:rsidRPr="003D4F7F">
        <w:rPr>
          <w:rFonts w:asciiTheme="minorHAnsi" w:hAnsiTheme="minorHAnsi" w:cs="Arial"/>
        </w:rPr>
        <w:t>Renda fixa;</w:t>
      </w:r>
    </w:p>
    <w:p w:rsidR="002D2845" w:rsidRPr="003D4F7F" w:rsidRDefault="002D2845" w:rsidP="002D2845">
      <w:pPr>
        <w:numPr>
          <w:ilvl w:val="0"/>
          <w:numId w:val="10"/>
        </w:numPr>
        <w:spacing w:before="120" w:after="120"/>
        <w:jc w:val="both"/>
        <w:rPr>
          <w:rFonts w:asciiTheme="minorHAnsi" w:hAnsiTheme="minorHAnsi" w:cs="Arial"/>
          <w:b/>
        </w:rPr>
      </w:pPr>
      <w:r w:rsidRPr="003D4F7F">
        <w:rPr>
          <w:rFonts w:asciiTheme="minorHAnsi" w:hAnsiTheme="minorHAnsi" w:cs="Arial"/>
        </w:rPr>
        <w:t>Renda variável;</w:t>
      </w:r>
    </w:p>
    <w:p w:rsidR="002D2845" w:rsidRPr="003D4F7F" w:rsidRDefault="002D2845" w:rsidP="002D2845">
      <w:pPr>
        <w:numPr>
          <w:ilvl w:val="0"/>
          <w:numId w:val="10"/>
        </w:numPr>
        <w:spacing w:before="120" w:after="120"/>
        <w:jc w:val="both"/>
        <w:rPr>
          <w:rFonts w:asciiTheme="minorHAnsi" w:hAnsiTheme="minorHAnsi" w:cs="Arial"/>
          <w:b/>
        </w:rPr>
      </w:pPr>
      <w:r w:rsidRPr="003D4F7F">
        <w:rPr>
          <w:rFonts w:asciiTheme="minorHAnsi" w:hAnsiTheme="minorHAnsi" w:cs="Arial"/>
        </w:rPr>
        <w:t>Imóveis.</w:t>
      </w:r>
      <w:bookmarkStart w:id="25" w:name="_Toc280352483"/>
    </w:p>
    <w:p w:rsidR="002D2845" w:rsidRPr="003D4F7F" w:rsidRDefault="002D2845" w:rsidP="002D2845">
      <w:pPr>
        <w:spacing w:before="120" w:after="120"/>
        <w:ind w:left="360"/>
        <w:jc w:val="both"/>
        <w:rPr>
          <w:rFonts w:asciiTheme="minorHAnsi" w:hAnsiTheme="minorHAnsi" w:cs="Arial"/>
          <w:b/>
        </w:rPr>
      </w:pPr>
    </w:p>
    <w:p w:rsidR="002D2845" w:rsidRPr="003D4F7F" w:rsidRDefault="002D2845" w:rsidP="002D2845">
      <w:pPr>
        <w:pStyle w:val="Subttulo"/>
        <w:spacing w:before="120" w:after="120"/>
        <w:jc w:val="left"/>
        <w:outlineLvl w:val="9"/>
        <w:rPr>
          <w:rFonts w:asciiTheme="minorHAnsi" w:hAnsiTheme="minorHAnsi" w:cs="Arial"/>
          <w:b/>
        </w:rPr>
      </w:pPr>
      <w:r w:rsidRPr="003D4F7F">
        <w:rPr>
          <w:rFonts w:asciiTheme="minorHAnsi" w:hAnsiTheme="minorHAnsi" w:cs="Arial"/>
          <w:b/>
        </w:rPr>
        <w:t>10.1.1. Segmento de Renda Fixa</w:t>
      </w:r>
      <w:bookmarkEnd w:id="25"/>
    </w:p>
    <w:p w:rsidR="002D2845" w:rsidRPr="003D4F7F" w:rsidRDefault="002D2845" w:rsidP="002D2845">
      <w:pPr>
        <w:spacing w:before="120" w:after="120"/>
        <w:jc w:val="both"/>
        <w:rPr>
          <w:rFonts w:asciiTheme="minorHAnsi" w:hAnsiTheme="minorHAnsi" w:cs="Arial"/>
          <w:b/>
        </w:rPr>
      </w:pPr>
      <w:r w:rsidRPr="003D4F7F">
        <w:rPr>
          <w:rFonts w:asciiTheme="minorHAnsi" w:hAnsiTheme="minorHAnsi" w:cs="Arial"/>
        </w:rPr>
        <w:t>Neste segmento, os recursos do RPPS serão aplicados em carteira própria de títulos de emissão do Tesouro Nacional, em operações compromissadas com lastro exclusivamente nesses títulos do Tesouro Nacional, em caderneta de poupança ou em fundos de investimento. É admitida a aplicação em fundos de investimento em cotas de fundos de investimento, desde que seja possível identificar e demonstrar que os respectivos fundos mantenham as composições, limites e garantias exigidas para os fundos de investimento que trata a legislação.</w:t>
      </w:r>
    </w:p>
    <w:p w:rsidR="002D2845" w:rsidRPr="003D4F7F" w:rsidRDefault="002D2845" w:rsidP="002D2845">
      <w:pPr>
        <w:spacing w:before="120" w:after="120"/>
        <w:jc w:val="both"/>
        <w:rPr>
          <w:rFonts w:asciiTheme="minorHAnsi" w:hAnsiTheme="minorHAnsi" w:cs="Arial"/>
        </w:rPr>
      </w:pPr>
      <w:r w:rsidRPr="003D4F7F">
        <w:rPr>
          <w:rFonts w:asciiTheme="minorHAnsi" w:hAnsiTheme="minorHAnsi" w:cs="Arial"/>
        </w:rPr>
        <w:t>Os tipos de fundos de investimento inseridos neste segmento e que podem receber recursos dos RPPS são:</w:t>
      </w:r>
    </w:p>
    <w:p w:rsidR="002D2845" w:rsidRPr="003D4F7F" w:rsidRDefault="002D2845" w:rsidP="002D2845">
      <w:pPr>
        <w:numPr>
          <w:ilvl w:val="0"/>
          <w:numId w:val="11"/>
        </w:numPr>
        <w:spacing w:before="120" w:after="120"/>
        <w:jc w:val="both"/>
        <w:rPr>
          <w:rFonts w:asciiTheme="minorHAnsi" w:hAnsiTheme="minorHAnsi" w:cs="Arial"/>
        </w:rPr>
      </w:pPr>
      <w:r w:rsidRPr="003D4F7F">
        <w:rPr>
          <w:rFonts w:asciiTheme="minorHAnsi" w:hAnsiTheme="minorHAnsi" w:cs="Arial"/>
        </w:rPr>
        <w:t>Fundos de Investimento 100% Títulos Públicos: constituídos sob a forma de condomínio aberto, têm a sua carteira formada exclusivamente por títulos emitidos pelo Tesouro Nacional. Os principais títulos emitidos e negociados no mercado atualmente são a Nota do Tesouro Nacional-série B (NTN-B) e a Letra Financeira do Tesouro (LFT).</w:t>
      </w:r>
    </w:p>
    <w:p w:rsidR="002D2845" w:rsidRDefault="002D2845" w:rsidP="002D2845">
      <w:pPr>
        <w:numPr>
          <w:ilvl w:val="0"/>
          <w:numId w:val="11"/>
        </w:numPr>
        <w:spacing w:before="120" w:after="120"/>
        <w:jc w:val="both"/>
        <w:rPr>
          <w:rFonts w:asciiTheme="minorHAnsi" w:hAnsiTheme="minorHAnsi" w:cs="Arial"/>
        </w:rPr>
      </w:pPr>
      <w:r w:rsidRPr="003D4F7F">
        <w:rPr>
          <w:rFonts w:asciiTheme="minorHAnsi" w:hAnsiTheme="minorHAnsi" w:cs="Arial"/>
        </w:rPr>
        <w:t>Fundos de Investimento de Renda Fixa: são fundos abertos cujas carteiras são compostas por títulos de renda fixa públicos ou privados. Os limites de aplicação são mais generosos em relação aos fundos que possuem na sua composição títulos com baixo risco de crédito e mais restritivos onde o risco de crédito for maior.</w:t>
      </w:r>
    </w:p>
    <w:p w:rsidR="007A4697" w:rsidRDefault="007A4697" w:rsidP="007A4697">
      <w:pPr>
        <w:spacing w:before="120" w:after="120"/>
        <w:jc w:val="both"/>
        <w:rPr>
          <w:rFonts w:asciiTheme="minorHAnsi" w:hAnsiTheme="minorHAnsi" w:cs="Arial"/>
        </w:rPr>
      </w:pPr>
    </w:p>
    <w:p w:rsidR="007A4697" w:rsidRDefault="007A4697" w:rsidP="007A4697">
      <w:pPr>
        <w:spacing w:before="120" w:after="120"/>
        <w:jc w:val="both"/>
        <w:rPr>
          <w:rFonts w:asciiTheme="minorHAnsi" w:hAnsiTheme="minorHAnsi" w:cs="Arial"/>
        </w:rPr>
      </w:pPr>
    </w:p>
    <w:p w:rsidR="007A4697" w:rsidRPr="003D4F7F" w:rsidRDefault="007A4697" w:rsidP="007A4697">
      <w:pPr>
        <w:spacing w:before="120" w:after="120"/>
        <w:jc w:val="both"/>
        <w:rPr>
          <w:rFonts w:asciiTheme="minorHAnsi" w:hAnsiTheme="minorHAnsi" w:cs="Arial"/>
        </w:rPr>
      </w:pPr>
    </w:p>
    <w:p w:rsidR="002D2845" w:rsidRPr="003D4F7F" w:rsidRDefault="002D2845" w:rsidP="002D2845">
      <w:pPr>
        <w:numPr>
          <w:ilvl w:val="0"/>
          <w:numId w:val="11"/>
        </w:numPr>
        <w:spacing w:before="120" w:after="120"/>
        <w:jc w:val="both"/>
        <w:rPr>
          <w:rFonts w:asciiTheme="minorHAnsi" w:hAnsiTheme="minorHAnsi" w:cs="Arial"/>
        </w:rPr>
      </w:pPr>
      <w:r w:rsidRPr="003D4F7F">
        <w:rPr>
          <w:rFonts w:asciiTheme="minorHAnsi" w:hAnsiTheme="minorHAnsi" w:cs="Arial"/>
        </w:rPr>
        <w:lastRenderedPageBreak/>
        <w:t xml:space="preserve">Fundos de Investimento em Direitos Creditórios: também conhecidos como </w:t>
      </w:r>
      <w:proofErr w:type="spellStart"/>
      <w:r w:rsidRPr="003D4F7F">
        <w:rPr>
          <w:rFonts w:asciiTheme="minorHAnsi" w:hAnsiTheme="minorHAnsi" w:cs="Arial"/>
        </w:rPr>
        <w:t>FIDC’s</w:t>
      </w:r>
      <w:proofErr w:type="spellEnd"/>
      <w:r w:rsidRPr="003D4F7F">
        <w:rPr>
          <w:rFonts w:asciiTheme="minorHAnsi" w:hAnsiTheme="minorHAnsi" w:cs="Arial"/>
        </w:rPr>
        <w:t>, têm a sua carteira composta por títulos ou operações de crédito originadas nos setores financeiro, comercial, industrial, imobiliário, de hipotecas, de arrendamento mercantil e de serviços. Podem ser constituídos sob a forma de condomínio aberto ou fechado. Se for aberto, o resgate de cotas será conforme o estabelecido no regulamento e se for fechado, o resgate de cotas será só no encerramento do fundo ou de cada série ou classe de cota. Há a possibilidade de amortização de cotas e de liquidação antecipada do fundo. É um produto destinado ao investidor de longo prazo.</w:t>
      </w:r>
    </w:p>
    <w:p w:rsidR="002D2845" w:rsidRPr="003D4F7F" w:rsidRDefault="002D2845" w:rsidP="002D2845">
      <w:pPr>
        <w:spacing w:before="120" w:after="120"/>
        <w:jc w:val="both"/>
        <w:rPr>
          <w:rFonts w:asciiTheme="minorHAnsi" w:hAnsiTheme="minorHAnsi" w:cs="Arial"/>
        </w:rPr>
      </w:pPr>
      <w:r w:rsidRPr="003D4F7F">
        <w:rPr>
          <w:rFonts w:asciiTheme="minorHAnsi" w:hAnsiTheme="minorHAnsi" w:cs="Arial"/>
        </w:rPr>
        <w:t xml:space="preserve">Os índices de referência a serem utilizados pelos fundos do segmento de Renda Fixa são: os índices de preços IPCA ou INPC, acrescido de cupom de juros, os índices IMA ou </w:t>
      </w:r>
      <w:proofErr w:type="spellStart"/>
      <w:proofErr w:type="gramStart"/>
      <w:r w:rsidRPr="003D4F7F">
        <w:rPr>
          <w:rFonts w:asciiTheme="minorHAnsi" w:hAnsiTheme="minorHAnsi" w:cs="Arial"/>
        </w:rPr>
        <w:t>IDkA</w:t>
      </w:r>
      <w:proofErr w:type="spellEnd"/>
      <w:proofErr w:type="gramEnd"/>
      <w:r w:rsidRPr="003D4F7F">
        <w:rPr>
          <w:rFonts w:asciiTheme="minorHAnsi" w:hAnsiTheme="minorHAnsi" w:cs="Arial"/>
        </w:rPr>
        <w:t xml:space="preserve"> e o CDI, conforme o perfil do fundo.</w:t>
      </w:r>
    </w:p>
    <w:p w:rsidR="002D2845" w:rsidRPr="003D4F7F" w:rsidRDefault="002D2845" w:rsidP="002D2845">
      <w:pPr>
        <w:spacing w:before="120" w:after="120"/>
        <w:jc w:val="both"/>
        <w:rPr>
          <w:rFonts w:asciiTheme="minorHAnsi" w:hAnsiTheme="minorHAnsi" w:cs="Arial"/>
        </w:rPr>
      </w:pPr>
    </w:p>
    <w:p w:rsidR="002D2845" w:rsidRPr="003D4F7F" w:rsidRDefault="002D2845" w:rsidP="002D2845">
      <w:pPr>
        <w:pStyle w:val="Subttulo"/>
        <w:spacing w:before="120" w:after="120"/>
        <w:jc w:val="left"/>
        <w:outlineLvl w:val="9"/>
        <w:rPr>
          <w:rFonts w:asciiTheme="minorHAnsi" w:hAnsiTheme="minorHAnsi" w:cs="Arial"/>
          <w:b/>
        </w:rPr>
      </w:pPr>
      <w:bookmarkStart w:id="26" w:name="_Toc280352484"/>
      <w:r w:rsidRPr="003D4F7F">
        <w:rPr>
          <w:rFonts w:asciiTheme="minorHAnsi" w:hAnsiTheme="minorHAnsi" w:cs="Arial"/>
          <w:b/>
        </w:rPr>
        <w:t>10.1.2. Segmento de Renda Variável</w:t>
      </w:r>
      <w:bookmarkEnd w:id="26"/>
    </w:p>
    <w:p w:rsidR="002D2845" w:rsidRPr="003D4F7F" w:rsidRDefault="002D2845" w:rsidP="002D2845">
      <w:pPr>
        <w:spacing w:before="120" w:after="120"/>
        <w:jc w:val="both"/>
        <w:rPr>
          <w:rFonts w:asciiTheme="minorHAnsi" w:hAnsiTheme="minorHAnsi" w:cs="Arial"/>
        </w:rPr>
      </w:pPr>
      <w:r w:rsidRPr="003D4F7F">
        <w:rPr>
          <w:rFonts w:asciiTheme="minorHAnsi" w:hAnsiTheme="minorHAnsi" w:cs="Arial"/>
        </w:rPr>
        <w:t>No segmento de renda variável, os recursos dos RPPS serão aplicados em fundos de investimento em ações, fundos de investimento multimercados, fundos de investimento em participações e fundos de investimento imobiliário. É admitida a aplicação em fundos de investimento em cotas de fundos de investimento, desde que seja possível identificar e demonstrar que os respectivos fundos mantenham as composições, limites e garantias exigidas para os fundos de investimento que trata a legislação.</w:t>
      </w:r>
    </w:p>
    <w:p w:rsidR="002D2845" w:rsidRPr="003D4F7F" w:rsidRDefault="002D2845" w:rsidP="002D2845">
      <w:pPr>
        <w:spacing w:before="120" w:after="120"/>
        <w:jc w:val="both"/>
        <w:rPr>
          <w:rFonts w:asciiTheme="minorHAnsi" w:hAnsiTheme="minorHAnsi" w:cs="Arial"/>
        </w:rPr>
      </w:pPr>
      <w:r w:rsidRPr="003D4F7F">
        <w:rPr>
          <w:rFonts w:asciiTheme="minorHAnsi" w:hAnsiTheme="minorHAnsi" w:cs="Arial"/>
        </w:rPr>
        <w:t>Os tipos de fundos de investimento inseridos neste segmento e que podem receber recursos dos RPPS são:</w:t>
      </w:r>
    </w:p>
    <w:p w:rsidR="002D2845" w:rsidRPr="003D4F7F" w:rsidRDefault="002D2845" w:rsidP="002D2845">
      <w:pPr>
        <w:numPr>
          <w:ilvl w:val="0"/>
          <w:numId w:val="12"/>
        </w:numPr>
        <w:spacing w:before="120" w:after="120"/>
        <w:jc w:val="both"/>
        <w:rPr>
          <w:rFonts w:asciiTheme="minorHAnsi" w:hAnsiTheme="minorHAnsi" w:cs="Arial"/>
        </w:rPr>
      </w:pPr>
      <w:r w:rsidRPr="003D4F7F">
        <w:rPr>
          <w:rFonts w:asciiTheme="minorHAnsi" w:hAnsiTheme="minorHAnsi" w:cs="Arial"/>
        </w:rPr>
        <w:t xml:space="preserve">Fundos de Investimento em Ações: constituídos sob a forma de condomínio aberto, são compostos por ações ou índices de ações negociadas na Bolsa de Valores de São Paulo (BOVESPA). Por serem mais voláteis, esses fundos exigem habilidades específicas dos gestores quer na escolha das ações que integrarão suas carteiras, como na escolha do momento mais adequado de </w:t>
      </w:r>
      <w:r w:rsidR="0072037D" w:rsidRPr="003D4F7F">
        <w:rPr>
          <w:rFonts w:asciiTheme="minorHAnsi" w:hAnsiTheme="minorHAnsi" w:cs="Arial"/>
        </w:rPr>
        <w:t>comprá-las</w:t>
      </w:r>
      <w:r w:rsidRPr="003D4F7F">
        <w:rPr>
          <w:rFonts w:asciiTheme="minorHAnsi" w:hAnsiTheme="minorHAnsi" w:cs="Arial"/>
        </w:rPr>
        <w:t xml:space="preserve"> ou vende-las. Podem ser referenciados nos índices Ibovespa, </w:t>
      </w:r>
      <w:proofErr w:type="spellStart"/>
      <w:proofErr w:type="gramStart"/>
      <w:r w:rsidRPr="003D4F7F">
        <w:rPr>
          <w:rFonts w:asciiTheme="minorHAnsi" w:hAnsiTheme="minorHAnsi" w:cs="Arial"/>
        </w:rPr>
        <w:t>IBrX</w:t>
      </w:r>
      <w:proofErr w:type="spellEnd"/>
      <w:proofErr w:type="gramEnd"/>
      <w:r w:rsidRPr="003D4F7F">
        <w:rPr>
          <w:rFonts w:asciiTheme="minorHAnsi" w:hAnsiTheme="minorHAnsi" w:cs="Arial"/>
        </w:rPr>
        <w:t xml:space="preserve"> ou </w:t>
      </w:r>
      <w:proofErr w:type="spellStart"/>
      <w:r w:rsidRPr="003D4F7F">
        <w:rPr>
          <w:rFonts w:asciiTheme="minorHAnsi" w:hAnsiTheme="minorHAnsi" w:cs="Arial"/>
        </w:rPr>
        <w:t>IBrX</w:t>
      </w:r>
      <w:proofErr w:type="spellEnd"/>
      <w:r w:rsidRPr="003D4F7F">
        <w:rPr>
          <w:rFonts w:asciiTheme="minorHAnsi" w:hAnsiTheme="minorHAnsi" w:cs="Arial"/>
        </w:rPr>
        <w:t>-50.</w:t>
      </w:r>
    </w:p>
    <w:p w:rsidR="002D2845" w:rsidRPr="003D4F7F" w:rsidRDefault="002D2845" w:rsidP="002D2845">
      <w:pPr>
        <w:numPr>
          <w:ilvl w:val="0"/>
          <w:numId w:val="12"/>
        </w:numPr>
        <w:spacing w:before="120" w:after="120"/>
        <w:jc w:val="both"/>
        <w:rPr>
          <w:rFonts w:asciiTheme="minorHAnsi" w:hAnsiTheme="minorHAnsi" w:cs="Arial"/>
        </w:rPr>
      </w:pPr>
      <w:r w:rsidRPr="003D4F7F">
        <w:rPr>
          <w:rFonts w:asciiTheme="minorHAnsi" w:hAnsiTheme="minorHAnsi" w:cs="Arial"/>
        </w:rPr>
        <w:t xml:space="preserve">Fundos </w:t>
      </w:r>
      <w:proofErr w:type="spellStart"/>
      <w:r w:rsidRPr="003D4F7F">
        <w:rPr>
          <w:rFonts w:asciiTheme="minorHAnsi" w:hAnsiTheme="minorHAnsi" w:cs="Arial"/>
        </w:rPr>
        <w:t>Multimercado</w:t>
      </w:r>
      <w:proofErr w:type="spellEnd"/>
      <w:r w:rsidRPr="003D4F7F">
        <w:rPr>
          <w:rFonts w:asciiTheme="minorHAnsi" w:hAnsiTheme="minorHAnsi" w:cs="Arial"/>
        </w:rPr>
        <w:t>: constituídos sob a forma de condomínio aberto, são fundos com diferentes perfis que podem atuar nos mercados de câmbio, commodities, ações, taxa de juros, índices de preços, etc. Ou seja, procuram obter retorno atuando em diferentes mercados e assumindo riscos maiores ou menores conforme a estratégia do gestor e as condições dos mercados. Na sua maioria, adotam o CDI como referencial.</w:t>
      </w:r>
    </w:p>
    <w:p w:rsidR="002D2845" w:rsidRPr="003D4F7F" w:rsidRDefault="002D2845" w:rsidP="002D2845">
      <w:pPr>
        <w:numPr>
          <w:ilvl w:val="0"/>
          <w:numId w:val="12"/>
        </w:numPr>
        <w:spacing w:before="120" w:after="120"/>
        <w:jc w:val="both"/>
        <w:rPr>
          <w:rFonts w:asciiTheme="minorHAnsi" w:hAnsiTheme="minorHAnsi" w:cs="Arial"/>
        </w:rPr>
      </w:pPr>
      <w:r w:rsidRPr="003D4F7F">
        <w:rPr>
          <w:rFonts w:asciiTheme="minorHAnsi" w:hAnsiTheme="minorHAnsi" w:cs="Arial"/>
        </w:rPr>
        <w:t>Fundos de Investimento em Participações: constituídos sob a forma de condomínio fechado, destinam parte significativa dos seus recursos para a aquisição de ações, debêntures, bônus de subscrição ou outros títulos e valores mobiliários conversíveis ou permutáveis em ações. São caracterizados, principalmente, pela participação ativa na administração das empresas em que investem, seja ela de capital aberto ou fechado. São referenciados em índice de ações ou em índice de inflação acrescido de um cupom juros.</w:t>
      </w:r>
    </w:p>
    <w:p w:rsidR="002D2845" w:rsidRPr="003D4F7F" w:rsidRDefault="002D2845" w:rsidP="002D2845">
      <w:pPr>
        <w:numPr>
          <w:ilvl w:val="0"/>
          <w:numId w:val="12"/>
        </w:numPr>
        <w:spacing w:before="120" w:after="120"/>
        <w:jc w:val="both"/>
        <w:rPr>
          <w:rFonts w:asciiTheme="minorHAnsi" w:hAnsiTheme="minorHAnsi" w:cs="Arial"/>
        </w:rPr>
      </w:pPr>
      <w:r w:rsidRPr="003D4F7F">
        <w:rPr>
          <w:rFonts w:asciiTheme="minorHAnsi" w:hAnsiTheme="minorHAnsi" w:cs="Arial"/>
        </w:rPr>
        <w:lastRenderedPageBreak/>
        <w:t xml:space="preserve">Fundos de Investimento Imobiliário: têm como objetivo aplicar seus recursos em ativos que tenham base imobiliária. Ou seja, no desenvolvimento de empreendimentos imobiliários, em imóveis prontos, em direitos a eles relativos, em ações do segmento imobiliário, etc. Podem ser referenciados no Índice </w:t>
      </w:r>
      <w:proofErr w:type="spellStart"/>
      <w:proofErr w:type="gramStart"/>
      <w:r w:rsidRPr="003D4F7F">
        <w:rPr>
          <w:rFonts w:asciiTheme="minorHAnsi" w:hAnsiTheme="minorHAnsi" w:cs="Arial"/>
        </w:rPr>
        <w:t>BM&amp;FBovespa</w:t>
      </w:r>
      <w:proofErr w:type="gramEnd"/>
      <w:r w:rsidRPr="003D4F7F">
        <w:rPr>
          <w:rFonts w:asciiTheme="minorHAnsi" w:hAnsiTheme="minorHAnsi" w:cs="Arial"/>
        </w:rPr>
        <w:t>-IMOB</w:t>
      </w:r>
      <w:proofErr w:type="spellEnd"/>
      <w:r w:rsidRPr="003D4F7F">
        <w:rPr>
          <w:rFonts w:asciiTheme="minorHAnsi" w:hAnsiTheme="minorHAnsi" w:cs="Arial"/>
        </w:rPr>
        <w:t>, por exemplo. Para que possam captar recursos dos RPPS, devem ter as suas cotas negociadas em bolsa de valores.</w:t>
      </w:r>
    </w:p>
    <w:p w:rsidR="0072037D" w:rsidRDefault="0072037D" w:rsidP="002D2845">
      <w:pPr>
        <w:spacing w:before="120" w:after="120"/>
        <w:jc w:val="both"/>
        <w:rPr>
          <w:rFonts w:asciiTheme="minorHAnsi" w:hAnsiTheme="minorHAnsi" w:cs="Arial"/>
        </w:rPr>
      </w:pPr>
    </w:p>
    <w:p w:rsidR="002D2845" w:rsidRPr="003D4F7F" w:rsidRDefault="002D2845" w:rsidP="002D2845">
      <w:pPr>
        <w:spacing w:before="120" w:after="120"/>
        <w:jc w:val="both"/>
        <w:rPr>
          <w:rFonts w:asciiTheme="minorHAnsi" w:hAnsiTheme="minorHAnsi" w:cs="Arial"/>
        </w:rPr>
      </w:pPr>
      <w:r w:rsidRPr="003D4F7F">
        <w:rPr>
          <w:rFonts w:asciiTheme="minorHAnsi" w:hAnsiTheme="minorHAnsi" w:cs="Arial"/>
        </w:rPr>
        <w:t>Na tabela de Alocação Objetivo são apresentados os limites legais de diversificação.</w:t>
      </w:r>
      <w:bookmarkStart w:id="27" w:name="_Toc280352487"/>
    </w:p>
    <w:p w:rsidR="002D2845" w:rsidRPr="003D4F7F" w:rsidRDefault="002D2845" w:rsidP="002D2845">
      <w:pPr>
        <w:spacing w:before="120" w:after="120"/>
        <w:jc w:val="both"/>
        <w:rPr>
          <w:rFonts w:asciiTheme="minorHAnsi" w:hAnsiTheme="minorHAnsi" w:cs="Arial"/>
        </w:rPr>
      </w:pPr>
    </w:p>
    <w:p w:rsidR="002D2845" w:rsidRPr="003D4F7F" w:rsidRDefault="002D2845" w:rsidP="002D2845">
      <w:pPr>
        <w:pStyle w:val="Subttulo"/>
        <w:spacing w:before="120" w:after="120"/>
        <w:jc w:val="left"/>
        <w:outlineLvl w:val="9"/>
        <w:rPr>
          <w:rFonts w:asciiTheme="minorHAnsi" w:hAnsiTheme="minorHAnsi" w:cs="Arial"/>
          <w:b/>
        </w:rPr>
      </w:pPr>
      <w:r w:rsidRPr="003D4F7F">
        <w:rPr>
          <w:rFonts w:asciiTheme="minorHAnsi" w:hAnsiTheme="minorHAnsi" w:cs="Arial"/>
          <w:b/>
        </w:rPr>
        <w:t xml:space="preserve">10.1.3. </w:t>
      </w:r>
      <w:proofErr w:type="gramStart"/>
      <w:r w:rsidRPr="003D4F7F">
        <w:rPr>
          <w:rFonts w:asciiTheme="minorHAnsi" w:hAnsiTheme="minorHAnsi" w:cs="Arial"/>
          <w:b/>
        </w:rPr>
        <w:t>Segmento Im</w:t>
      </w:r>
      <w:bookmarkEnd w:id="27"/>
      <w:r w:rsidRPr="003D4F7F">
        <w:rPr>
          <w:rFonts w:asciiTheme="minorHAnsi" w:hAnsiTheme="minorHAnsi" w:cs="Arial"/>
          <w:b/>
        </w:rPr>
        <w:t>óveis</w:t>
      </w:r>
      <w:proofErr w:type="gramEnd"/>
    </w:p>
    <w:p w:rsidR="002D2845" w:rsidRPr="003D4F7F" w:rsidRDefault="002D2845" w:rsidP="002D2845">
      <w:pPr>
        <w:spacing w:before="120" w:after="120"/>
        <w:jc w:val="both"/>
        <w:rPr>
          <w:rFonts w:asciiTheme="minorHAnsi" w:hAnsiTheme="minorHAnsi" w:cs="Arial"/>
        </w:rPr>
      </w:pPr>
      <w:r w:rsidRPr="003D4F7F">
        <w:rPr>
          <w:rFonts w:asciiTheme="minorHAnsi" w:hAnsiTheme="minorHAnsi" w:cs="Arial"/>
        </w:rPr>
        <w:t>As aplicações no segmento de imóveis serão efetuadas exclusivamente com os imóveis vinculados por lei ao RPPS, que poderão ser utilizados para a aquisição de cotas de fundos de investimento imobiliário, cujas cotas sejam negociadas em ambiente de bolsa de valores.</w:t>
      </w:r>
    </w:p>
    <w:p w:rsidR="002D2845" w:rsidRPr="003D4F7F" w:rsidRDefault="002D2845" w:rsidP="002D2845">
      <w:pPr>
        <w:spacing w:before="120" w:after="120"/>
        <w:jc w:val="both"/>
        <w:rPr>
          <w:rFonts w:asciiTheme="minorHAnsi" w:hAnsiTheme="minorHAnsi" w:cs="Arial"/>
        </w:rPr>
      </w:pPr>
    </w:p>
    <w:p w:rsidR="002D2845" w:rsidRPr="003D4F7F" w:rsidRDefault="002D2845" w:rsidP="002D2845">
      <w:pPr>
        <w:pStyle w:val="Subttulo"/>
        <w:spacing w:before="120" w:after="120"/>
        <w:jc w:val="left"/>
        <w:outlineLvl w:val="9"/>
        <w:rPr>
          <w:rFonts w:asciiTheme="minorHAnsi" w:hAnsiTheme="minorHAnsi" w:cs="Arial"/>
          <w:b/>
        </w:rPr>
      </w:pPr>
      <w:r w:rsidRPr="003D4F7F">
        <w:rPr>
          <w:rFonts w:asciiTheme="minorHAnsi" w:hAnsiTheme="minorHAnsi" w:cs="Arial"/>
          <w:b/>
        </w:rPr>
        <w:t>10.2 VEDAÇÕES</w:t>
      </w:r>
    </w:p>
    <w:p w:rsidR="002D2845" w:rsidRPr="003D4F7F" w:rsidRDefault="002D2845" w:rsidP="002D2845">
      <w:pPr>
        <w:spacing w:before="120" w:after="120"/>
        <w:jc w:val="both"/>
        <w:rPr>
          <w:rFonts w:asciiTheme="minorHAnsi" w:hAnsiTheme="minorHAnsi" w:cs="Arial"/>
        </w:rPr>
      </w:pPr>
      <w:r w:rsidRPr="003D4F7F">
        <w:rPr>
          <w:rFonts w:asciiTheme="minorHAnsi" w:hAnsiTheme="minorHAnsi" w:cs="Arial"/>
        </w:rPr>
        <w:t>De acordo com a Resolução 3.922/2010 do CMN é vedado aos RPPS:</w:t>
      </w:r>
    </w:p>
    <w:p w:rsidR="002D2845" w:rsidRPr="003D4F7F" w:rsidRDefault="002D2845" w:rsidP="002D2845">
      <w:pPr>
        <w:numPr>
          <w:ilvl w:val="0"/>
          <w:numId w:val="13"/>
        </w:numPr>
        <w:spacing w:before="120" w:after="120"/>
        <w:jc w:val="both"/>
        <w:rPr>
          <w:rFonts w:asciiTheme="minorHAnsi" w:hAnsiTheme="minorHAnsi" w:cs="Arial"/>
        </w:rPr>
      </w:pPr>
      <w:r w:rsidRPr="003D4F7F">
        <w:rPr>
          <w:rFonts w:asciiTheme="minorHAnsi" w:hAnsiTheme="minorHAnsi" w:cs="Arial"/>
        </w:rPr>
        <w:t>Aplicar recursos na aquisição de cotas de fundo de investimento cuja atuação em mercados de derivativo gere exposição superior a uma vez o respectivo patrimônio líquido;</w:t>
      </w:r>
    </w:p>
    <w:p w:rsidR="002D2845" w:rsidRPr="003D4F7F" w:rsidRDefault="002D2845" w:rsidP="002D2845">
      <w:pPr>
        <w:numPr>
          <w:ilvl w:val="0"/>
          <w:numId w:val="13"/>
        </w:numPr>
        <w:spacing w:before="120" w:after="120"/>
        <w:jc w:val="both"/>
        <w:rPr>
          <w:rFonts w:asciiTheme="minorHAnsi" w:hAnsiTheme="minorHAnsi" w:cs="Arial"/>
        </w:rPr>
      </w:pPr>
      <w:r w:rsidRPr="003D4F7F">
        <w:rPr>
          <w:rFonts w:asciiTheme="minorHAnsi" w:hAnsiTheme="minorHAnsi" w:cs="Arial"/>
        </w:rPr>
        <w:t>Aplicar recursos na aquisição de cotas de fundo de investimento cujas carteiras contenham títulos que ente federativo figure como devedor ou preste fiança, aval, aceite ou coobrigação sob qualquer outra forma;</w:t>
      </w:r>
    </w:p>
    <w:p w:rsidR="002D2845" w:rsidRPr="003D4F7F" w:rsidRDefault="002D2845" w:rsidP="002D2845">
      <w:pPr>
        <w:numPr>
          <w:ilvl w:val="0"/>
          <w:numId w:val="13"/>
        </w:numPr>
        <w:spacing w:before="120" w:after="120"/>
        <w:jc w:val="both"/>
        <w:rPr>
          <w:rFonts w:asciiTheme="minorHAnsi" w:hAnsiTheme="minorHAnsi" w:cs="Arial"/>
        </w:rPr>
      </w:pPr>
      <w:r w:rsidRPr="003D4F7F">
        <w:rPr>
          <w:rFonts w:asciiTheme="minorHAnsi" w:hAnsiTheme="minorHAnsi" w:cs="Arial"/>
        </w:rPr>
        <w:t>Aplicar recursos na aquisição de cotas de fundo de investimento em direitos creditórios não padronizados;</w:t>
      </w:r>
    </w:p>
    <w:p w:rsidR="002D2845" w:rsidRPr="003D4F7F" w:rsidRDefault="002D2845" w:rsidP="002D2845">
      <w:pPr>
        <w:numPr>
          <w:ilvl w:val="0"/>
          <w:numId w:val="13"/>
        </w:numPr>
        <w:spacing w:before="120" w:after="120"/>
        <w:jc w:val="both"/>
        <w:rPr>
          <w:rFonts w:asciiTheme="minorHAnsi" w:hAnsiTheme="minorHAnsi" w:cs="Arial"/>
        </w:rPr>
      </w:pPr>
      <w:r w:rsidRPr="003D4F7F">
        <w:rPr>
          <w:rFonts w:asciiTheme="minorHAnsi" w:hAnsiTheme="minorHAnsi" w:cs="Arial"/>
        </w:rPr>
        <w:t xml:space="preserve">Praticar operações denominadas </w:t>
      </w:r>
      <w:proofErr w:type="spellStart"/>
      <w:proofErr w:type="gramStart"/>
      <w:r w:rsidRPr="003D4F7F">
        <w:rPr>
          <w:rFonts w:asciiTheme="minorHAnsi" w:hAnsiTheme="minorHAnsi" w:cs="Arial"/>
          <w:i/>
        </w:rPr>
        <w:t>day</w:t>
      </w:r>
      <w:proofErr w:type="gramEnd"/>
      <w:r w:rsidRPr="003D4F7F">
        <w:rPr>
          <w:rFonts w:asciiTheme="minorHAnsi" w:hAnsiTheme="minorHAnsi" w:cs="Arial"/>
          <w:i/>
        </w:rPr>
        <w:t>-trade</w:t>
      </w:r>
      <w:proofErr w:type="spellEnd"/>
      <w:r w:rsidRPr="003D4F7F">
        <w:rPr>
          <w:rFonts w:asciiTheme="minorHAnsi" w:hAnsiTheme="minorHAnsi" w:cs="Arial"/>
        </w:rPr>
        <w:t>, assim consideradas aquelas iniciadas e encerradas no mesmo dia, independentemente de o regime próprio possuir estoque ou posição anterior do mesmo ativo, quando se tratar de negociações de títulos públicos federias realizadas diretamente pelo RPPS e;</w:t>
      </w:r>
    </w:p>
    <w:p w:rsidR="002D2845" w:rsidRPr="003D4F7F" w:rsidRDefault="002D2845" w:rsidP="002D2845">
      <w:pPr>
        <w:numPr>
          <w:ilvl w:val="0"/>
          <w:numId w:val="13"/>
        </w:numPr>
        <w:spacing w:before="120" w:after="120"/>
        <w:jc w:val="both"/>
        <w:rPr>
          <w:rFonts w:asciiTheme="minorHAnsi" w:hAnsiTheme="minorHAnsi" w:cs="Arial"/>
        </w:rPr>
      </w:pPr>
      <w:r w:rsidRPr="003D4F7F">
        <w:rPr>
          <w:rFonts w:asciiTheme="minorHAnsi" w:hAnsiTheme="minorHAnsi" w:cs="Arial"/>
        </w:rPr>
        <w:t>Atuar em modalidades operacionais ou negociar com duplicatas, títulos de crédito ou outros ativos que não os previstos na Resolução 3.922/2010.</w:t>
      </w:r>
    </w:p>
    <w:p w:rsidR="002D2845" w:rsidRPr="003D4F7F" w:rsidRDefault="002D2845" w:rsidP="002D2845">
      <w:pPr>
        <w:spacing w:before="120" w:after="120"/>
        <w:jc w:val="both"/>
        <w:rPr>
          <w:rFonts w:asciiTheme="minorHAnsi" w:hAnsiTheme="minorHAnsi" w:cs="Arial"/>
        </w:rPr>
      </w:pPr>
    </w:p>
    <w:p w:rsidR="002D2845" w:rsidRPr="003D4F7F" w:rsidRDefault="002D2845" w:rsidP="002D2845">
      <w:pPr>
        <w:pStyle w:val="Ttulo"/>
        <w:numPr>
          <w:ilvl w:val="0"/>
          <w:numId w:val="18"/>
        </w:numPr>
        <w:spacing w:before="120" w:after="120"/>
        <w:jc w:val="left"/>
        <w:rPr>
          <w:rFonts w:asciiTheme="minorHAnsi" w:hAnsiTheme="minorHAnsi" w:cs="Arial"/>
          <w:sz w:val="24"/>
          <w:szCs w:val="24"/>
        </w:rPr>
      </w:pPr>
      <w:bookmarkStart w:id="28" w:name="_Toc404173781"/>
      <w:r w:rsidRPr="003D4F7F">
        <w:rPr>
          <w:rFonts w:asciiTheme="minorHAnsi" w:hAnsiTheme="minorHAnsi" w:cs="Arial"/>
          <w:sz w:val="24"/>
          <w:szCs w:val="24"/>
        </w:rPr>
        <w:t>ALOCAÇÃO-OBJETIVO</w:t>
      </w:r>
      <w:bookmarkEnd w:id="28"/>
    </w:p>
    <w:p w:rsidR="002D2845" w:rsidRPr="00A252CB" w:rsidRDefault="002D2845" w:rsidP="002D2845">
      <w:pPr>
        <w:spacing w:before="120" w:after="120"/>
        <w:jc w:val="both"/>
        <w:rPr>
          <w:rFonts w:asciiTheme="minorHAnsi" w:hAnsiTheme="minorHAnsi" w:cs="Arial"/>
        </w:rPr>
      </w:pPr>
      <w:r w:rsidRPr="003D4F7F">
        <w:rPr>
          <w:rFonts w:asciiTheme="minorHAnsi" w:hAnsiTheme="minorHAnsi" w:cs="Arial"/>
        </w:rPr>
        <w:t>Após a análise da carteira de investimentos do Colombo Previdência</w:t>
      </w:r>
      <w:r w:rsidR="0072037D">
        <w:rPr>
          <w:rFonts w:asciiTheme="minorHAnsi" w:hAnsiTheme="minorHAnsi" w:cs="Arial"/>
        </w:rPr>
        <w:t xml:space="preserve"> </w:t>
      </w:r>
      <w:r w:rsidRPr="003D4F7F">
        <w:rPr>
          <w:rFonts w:asciiTheme="minorHAnsi" w:hAnsiTheme="minorHAnsi" w:cs="Arial"/>
        </w:rPr>
        <w:t>e considerado o cenário econômico financeiro para 2015, elaborados por</w:t>
      </w:r>
      <w:r w:rsidRPr="00A252CB">
        <w:rPr>
          <w:rFonts w:asciiTheme="minorHAnsi" w:hAnsiTheme="minorHAnsi" w:cs="Arial"/>
        </w:rPr>
        <w:t xml:space="preserve"> consultoria contratada, foi definida uma Alocação-Objetivo para ser executada até o fim do ano referência.</w:t>
      </w:r>
    </w:p>
    <w:p w:rsidR="0072037D" w:rsidRDefault="0072037D" w:rsidP="002D2845">
      <w:pPr>
        <w:spacing w:before="120" w:after="120"/>
        <w:ind w:firstLine="709"/>
        <w:jc w:val="center"/>
        <w:rPr>
          <w:rFonts w:asciiTheme="minorHAnsi" w:hAnsiTheme="minorHAnsi" w:cs="Arial"/>
          <w:b/>
        </w:rPr>
      </w:pPr>
      <w:bookmarkStart w:id="29" w:name="_Toc219780925"/>
    </w:p>
    <w:p w:rsidR="0072037D" w:rsidRDefault="0072037D" w:rsidP="002D2845">
      <w:pPr>
        <w:spacing w:before="120" w:after="120"/>
        <w:ind w:firstLine="709"/>
        <w:jc w:val="center"/>
        <w:rPr>
          <w:rFonts w:asciiTheme="minorHAnsi" w:hAnsiTheme="minorHAnsi" w:cs="Arial"/>
          <w:b/>
        </w:rPr>
      </w:pPr>
    </w:p>
    <w:p w:rsidR="0072037D" w:rsidRDefault="0072037D" w:rsidP="002D2845">
      <w:pPr>
        <w:spacing w:before="120" w:after="120"/>
        <w:ind w:firstLine="709"/>
        <w:jc w:val="center"/>
        <w:rPr>
          <w:rFonts w:asciiTheme="minorHAnsi" w:hAnsiTheme="minorHAnsi" w:cs="Arial"/>
          <w:b/>
        </w:rPr>
      </w:pPr>
    </w:p>
    <w:p w:rsidR="002D2845" w:rsidRPr="00A252CB" w:rsidRDefault="002D2845" w:rsidP="002D2845">
      <w:pPr>
        <w:spacing w:before="120" w:after="120"/>
        <w:ind w:firstLine="709"/>
        <w:jc w:val="center"/>
        <w:rPr>
          <w:rFonts w:asciiTheme="minorHAnsi" w:hAnsiTheme="minorHAnsi" w:cs="Arial"/>
          <w:b/>
        </w:rPr>
      </w:pPr>
      <w:r w:rsidRPr="00A252CB">
        <w:rPr>
          <w:rFonts w:asciiTheme="minorHAnsi" w:hAnsiTheme="minorHAnsi" w:cs="Arial"/>
          <w:b/>
        </w:rPr>
        <w:lastRenderedPageBreak/>
        <w:t>Alocação-Objetivo</w:t>
      </w:r>
    </w:p>
    <w:p w:rsidR="002D2845" w:rsidRPr="003D4F7F" w:rsidRDefault="002D2845" w:rsidP="002D2845">
      <w:pPr>
        <w:spacing w:before="120" w:after="120"/>
        <w:ind w:firstLine="709"/>
        <w:jc w:val="center"/>
        <w:rPr>
          <w:rFonts w:asciiTheme="minorHAnsi" w:hAnsiTheme="minorHAnsi" w:cs="Arial"/>
          <w:b/>
          <w:i/>
        </w:rPr>
      </w:pPr>
      <w:r>
        <w:rPr>
          <w:rFonts w:asciiTheme="minorHAnsi" w:hAnsiTheme="minorHAnsi" w:cs="Arial"/>
          <w:b/>
          <w:i/>
        </w:rPr>
        <w:t>Colombo Previdência</w:t>
      </w:r>
    </w:p>
    <w:p w:rsidR="002D2845" w:rsidRDefault="002D2845" w:rsidP="002D2845">
      <w:pPr>
        <w:spacing w:before="120" w:after="120"/>
        <w:jc w:val="both"/>
        <w:rPr>
          <w:rFonts w:asciiTheme="minorHAnsi" w:hAnsiTheme="minorHAnsi" w:cs="Arial"/>
          <w:b/>
          <w:bCs/>
        </w:rPr>
      </w:pPr>
      <w:r w:rsidRPr="00422DAA">
        <w:rPr>
          <w:noProof/>
          <w:lang w:eastAsia="pt-BR"/>
        </w:rPr>
        <w:drawing>
          <wp:inline distT="0" distB="0" distL="0" distR="0">
            <wp:extent cx="5881427" cy="3314700"/>
            <wp:effectExtent l="0" t="0" r="5080" b="0"/>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85656" cy="3317083"/>
                    </a:xfrm>
                    <a:prstGeom prst="rect">
                      <a:avLst/>
                    </a:prstGeom>
                    <a:noFill/>
                    <a:ln>
                      <a:noFill/>
                    </a:ln>
                  </pic:spPr>
                </pic:pic>
              </a:graphicData>
            </a:graphic>
          </wp:inline>
        </w:drawing>
      </w:r>
    </w:p>
    <w:p w:rsidR="002D2845" w:rsidRPr="00A252CB" w:rsidRDefault="002D2845" w:rsidP="002D2845">
      <w:pPr>
        <w:spacing w:before="120" w:after="120"/>
        <w:jc w:val="both"/>
        <w:rPr>
          <w:rFonts w:asciiTheme="minorHAnsi" w:hAnsiTheme="minorHAnsi" w:cs="Arial"/>
          <w:b/>
          <w:bCs/>
        </w:rPr>
      </w:pPr>
    </w:p>
    <w:p w:rsidR="002D2845" w:rsidRPr="00A252CB" w:rsidRDefault="002D2845" w:rsidP="002D2845">
      <w:pPr>
        <w:pStyle w:val="Subttulo"/>
        <w:spacing w:before="120" w:after="120"/>
        <w:jc w:val="left"/>
        <w:outlineLvl w:val="9"/>
        <w:rPr>
          <w:rFonts w:asciiTheme="minorHAnsi" w:hAnsiTheme="minorHAnsi" w:cs="Arial"/>
          <w:b/>
          <w:bCs/>
        </w:rPr>
      </w:pPr>
      <w:r w:rsidRPr="00A252CB">
        <w:rPr>
          <w:rFonts w:asciiTheme="minorHAnsi" w:hAnsiTheme="minorHAnsi" w:cs="Arial"/>
          <w:b/>
        </w:rPr>
        <w:t>11.1. LIMITES DE APLICAÇÕES POR SEGMENTOS E CLASSES DE ATIVOS</w:t>
      </w:r>
    </w:p>
    <w:p w:rsidR="002D2845" w:rsidRPr="00A252CB" w:rsidRDefault="002D2845" w:rsidP="002D2845">
      <w:pPr>
        <w:spacing w:before="120" w:after="120"/>
        <w:jc w:val="both"/>
        <w:rPr>
          <w:rFonts w:asciiTheme="minorHAnsi" w:hAnsiTheme="minorHAnsi" w:cs="Arial"/>
        </w:rPr>
      </w:pPr>
      <w:r w:rsidRPr="00A252CB">
        <w:rPr>
          <w:rFonts w:asciiTheme="minorHAnsi" w:hAnsiTheme="minorHAnsi" w:cs="Arial"/>
        </w:rPr>
        <w:t>A tabela de Alocação Objetivo apresenta os limites de aplicação por segmento e por classe de ativo, autorizados pela Resolução 3.922 do CMN.</w:t>
      </w:r>
      <w:bookmarkStart w:id="30" w:name="_Toc280352490"/>
      <w:bookmarkEnd w:id="29"/>
    </w:p>
    <w:p w:rsidR="002D2845" w:rsidRPr="00A252CB" w:rsidRDefault="002D2845" w:rsidP="002D2845">
      <w:pPr>
        <w:spacing w:before="120" w:after="120"/>
        <w:jc w:val="both"/>
        <w:rPr>
          <w:rFonts w:asciiTheme="minorHAnsi" w:hAnsiTheme="minorHAnsi" w:cs="Arial"/>
        </w:rPr>
      </w:pPr>
    </w:p>
    <w:p w:rsidR="002D2845" w:rsidRPr="00A252CB" w:rsidRDefault="002D2845" w:rsidP="002D2845">
      <w:pPr>
        <w:pStyle w:val="Subttulo"/>
        <w:spacing w:before="120" w:after="120"/>
        <w:jc w:val="left"/>
        <w:outlineLvl w:val="9"/>
        <w:rPr>
          <w:rFonts w:asciiTheme="minorHAnsi" w:hAnsiTheme="minorHAnsi" w:cs="Arial"/>
          <w:b/>
        </w:rPr>
      </w:pPr>
      <w:r w:rsidRPr="00A252CB">
        <w:rPr>
          <w:rFonts w:asciiTheme="minorHAnsi" w:hAnsiTheme="minorHAnsi" w:cs="Arial"/>
          <w:b/>
        </w:rPr>
        <w:t>11.2. LIMITES ADICIONAIS DE APLICAÇÃO</w:t>
      </w:r>
    </w:p>
    <w:p w:rsidR="002D2845" w:rsidRPr="00A252CB" w:rsidRDefault="002D2845" w:rsidP="002D2845">
      <w:pPr>
        <w:pStyle w:val="Subttulo"/>
        <w:spacing w:before="120" w:after="120"/>
        <w:jc w:val="left"/>
        <w:rPr>
          <w:rFonts w:asciiTheme="minorHAnsi" w:hAnsiTheme="minorHAnsi" w:cs="Arial"/>
          <w:b/>
        </w:rPr>
      </w:pPr>
    </w:p>
    <w:p w:rsidR="002D2845" w:rsidRPr="00A252CB" w:rsidRDefault="002D2845" w:rsidP="002D2845">
      <w:pPr>
        <w:pStyle w:val="Subttulo"/>
        <w:spacing w:before="120" w:after="120"/>
        <w:jc w:val="left"/>
        <w:outlineLvl w:val="9"/>
        <w:rPr>
          <w:rFonts w:asciiTheme="minorHAnsi" w:hAnsiTheme="minorHAnsi" w:cs="Arial"/>
          <w:b/>
        </w:rPr>
      </w:pPr>
      <w:r w:rsidRPr="00A252CB">
        <w:rPr>
          <w:rFonts w:asciiTheme="minorHAnsi" w:hAnsiTheme="minorHAnsi" w:cs="Arial"/>
          <w:b/>
        </w:rPr>
        <w:t>11.2.1. Segmento de Renda Fixa</w:t>
      </w:r>
    </w:p>
    <w:p w:rsidR="002D2845" w:rsidRPr="00A252CB" w:rsidRDefault="002D2845" w:rsidP="002D2845">
      <w:pPr>
        <w:numPr>
          <w:ilvl w:val="0"/>
          <w:numId w:val="14"/>
        </w:numPr>
        <w:spacing w:before="120" w:after="120"/>
        <w:jc w:val="both"/>
        <w:rPr>
          <w:rFonts w:asciiTheme="minorHAnsi" w:hAnsiTheme="minorHAnsi" w:cs="Arial"/>
          <w:b/>
          <w:bCs/>
        </w:rPr>
      </w:pPr>
      <w:r w:rsidRPr="00A252CB">
        <w:rPr>
          <w:rFonts w:asciiTheme="minorHAnsi" w:hAnsiTheme="minorHAnsi" w:cs="Arial"/>
          <w:bCs/>
        </w:rPr>
        <w:t xml:space="preserve">Excetuando-se os títulos públicos de emissão do Tesouro Nacional e os depósitos de poupança, os regulamentos dos fundos selecionados pelo RPPS para aplicação deverão determinar que o limite máximo de concentração em uma mesma pessoa jurídica, de sua controlada, de entidade por ela direta ou indiretamente </w:t>
      </w:r>
      <w:proofErr w:type="spellStart"/>
      <w:r w:rsidRPr="00A252CB">
        <w:rPr>
          <w:rFonts w:asciiTheme="minorHAnsi" w:hAnsiTheme="minorHAnsi" w:cs="Arial"/>
          <w:bCs/>
        </w:rPr>
        <w:t>controladae</w:t>
      </w:r>
      <w:proofErr w:type="spellEnd"/>
      <w:r w:rsidRPr="00A252CB">
        <w:rPr>
          <w:rFonts w:asciiTheme="minorHAnsi" w:hAnsiTheme="minorHAnsi" w:cs="Arial"/>
          <w:bCs/>
        </w:rPr>
        <w:t xml:space="preserve"> de coligada ou quaisquer outras sociedades sob controle comum seja de </w:t>
      </w:r>
      <w:r w:rsidRPr="00A252CB">
        <w:rPr>
          <w:rFonts w:asciiTheme="minorHAnsi" w:hAnsiTheme="minorHAnsi" w:cs="Arial"/>
          <w:b/>
          <w:bCs/>
        </w:rPr>
        <w:t>20%</w:t>
      </w:r>
      <w:r w:rsidRPr="00A252CB">
        <w:rPr>
          <w:rFonts w:asciiTheme="minorHAnsi" w:hAnsiTheme="minorHAnsi" w:cs="Arial"/>
          <w:bCs/>
        </w:rPr>
        <w:t xml:space="preserve"> (vinte por cento).</w:t>
      </w:r>
    </w:p>
    <w:p w:rsidR="002D2845" w:rsidRPr="007A4697" w:rsidRDefault="002D2845" w:rsidP="002D2845">
      <w:pPr>
        <w:numPr>
          <w:ilvl w:val="0"/>
          <w:numId w:val="14"/>
        </w:numPr>
        <w:spacing w:before="120" w:after="120"/>
        <w:jc w:val="both"/>
        <w:rPr>
          <w:rFonts w:asciiTheme="minorHAnsi" w:hAnsiTheme="minorHAnsi" w:cs="Arial"/>
          <w:b/>
          <w:bCs/>
        </w:rPr>
      </w:pPr>
      <w:r w:rsidRPr="00A252CB">
        <w:rPr>
          <w:rFonts w:asciiTheme="minorHAnsi" w:hAnsiTheme="minorHAnsi" w:cs="Arial"/>
          <w:bCs/>
        </w:rPr>
        <w:t xml:space="preserve">Os regulamentos dos fundos de investimento em direitos creditórios, constituídos sob a forma de condomínio aberto ou fechado que forem selecionados pelo RPPS para aplicação deverão determinar que o limite máximo de concentração em uma mesma pessoa jurídica, de sua controlada, de entidade por ela direta ou indiretamente controlada e de coligada ou quaisquer outras sociedades sob controle comum seja de </w:t>
      </w:r>
      <w:r w:rsidRPr="00A252CB">
        <w:rPr>
          <w:rFonts w:asciiTheme="minorHAnsi" w:hAnsiTheme="minorHAnsi" w:cs="Arial"/>
          <w:b/>
          <w:bCs/>
        </w:rPr>
        <w:t>20%</w:t>
      </w:r>
      <w:r w:rsidRPr="00A252CB">
        <w:rPr>
          <w:rFonts w:asciiTheme="minorHAnsi" w:hAnsiTheme="minorHAnsi" w:cs="Arial"/>
          <w:bCs/>
        </w:rPr>
        <w:t xml:space="preserve"> (vinte por cento).</w:t>
      </w:r>
    </w:p>
    <w:p w:rsidR="007A4697" w:rsidRPr="00A252CB" w:rsidRDefault="007A4697" w:rsidP="007A4697">
      <w:pPr>
        <w:spacing w:before="120" w:after="120"/>
        <w:jc w:val="both"/>
        <w:rPr>
          <w:rFonts w:asciiTheme="minorHAnsi" w:hAnsiTheme="minorHAnsi" w:cs="Arial"/>
          <w:b/>
          <w:bCs/>
        </w:rPr>
      </w:pPr>
    </w:p>
    <w:p w:rsidR="002D2845" w:rsidRPr="00A252CB" w:rsidRDefault="002D2845" w:rsidP="002D2845">
      <w:pPr>
        <w:numPr>
          <w:ilvl w:val="0"/>
          <w:numId w:val="14"/>
        </w:numPr>
        <w:spacing w:before="120" w:after="120"/>
        <w:jc w:val="both"/>
        <w:rPr>
          <w:rFonts w:asciiTheme="minorHAnsi" w:hAnsiTheme="minorHAnsi" w:cs="Arial"/>
          <w:b/>
          <w:bCs/>
        </w:rPr>
      </w:pPr>
      <w:r w:rsidRPr="00A252CB">
        <w:rPr>
          <w:rFonts w:asciiTheme="minorHAnsi" w:hAnsiTheme="minorHAnsi" w:cs="Arial"/>
          <w:bCs/>
        </w:rPr>
        <w:lastRenderedPageBreak/>
        <w:t xml:space="preserve">As aplicações feitas pelo RPPS em cotas de fundos de investimento em direitos creditórios constituídos sob a forma de condomínio aberto ou fechado ou ainda em cotas de fundos de investimento classificados como renda fixa, referenciados em indicadores de desempenho de renda fixa que contenham a denominação “crédito privado”, não excederá </w:t>
      </w:r>
      <w:r w:rsidRPr="00A252CB">
        <w:rPr>
          <w:rFonts w:asciiTheme="minorHAnsi" w:hAnsiTheme="minorHAnsi" w:cs="Arial"/>
          <w:b/>
          <w:bCs/>
        </w:rPr>
        <w:t>15%</w:t>
      </w:r>
      <w:proofErr w:type="gramStart"/>
      <w:r w:rsidRPr="00A252CB">
        <w:rPr>
          <w:rFonts w:asciiTheme="minorHAnsi" w:hAnsiTheme="minorHAnsi" w:cs="Arial"/>
          <w:bCs/>
        </w:rPr>
        <w:t>(</w:t>
      </w:r>
      <w:proofErr w:type="gramEnd"/>
      <w:r w:rsidRPr="00A252CB">
        <w:rPr>
          <w:rFonts w:asciiTheme="minorHAnsi" w:hAnsiTheme="minorHAnsi" w:cs="Arial"/>
          <w:bCs/>
        </w:rPr>
        <w:t>quinze por cento) do total das aplicações do Instituto.</w:t>
      </w:r>
    </w:p>
    <w:p w:rsidR="002D2845" w:rsidRPr="00A252CB" w:rsidRDefault="002D2845" w:rsidP="002D2845">
      <w:pPr>
        <w:pStyle w:val="Subttulo"/>
        <w:spacing w:before="120" w:after="120"/>
        <w:jc w:val="left"/>
        <w:outlineLvl w:val="9"/>
        <w:rPr>
          <w:rFonts w:asciiTheme="minorHAnsi" w:hAnsiTheme="minorHAnsi" w:cs="Arial"/>
          <w:b/>
        </w:rPr>
      </w:pPr>
      <w:r w:rsidRPr="00A252CB">
        <w:rPr>
          <w:rFonts w:asciiTheme="minorHAnsi" w:hAnsiTheme="minorHAnsi" w:cs="Arial"/>
          <w:b/>
        </w:rPr>
        <w:t>11.2.2. Segmento de Renda Variável</w:t>
      </w:r>
    </w:p>
    <w:p w:rsidR="002D2845" w:rsidRPr="00A252CB" w:rsidRDefault="002D2845" w:rsidP="002D2845">
      <w:pPr>
        <w:spacing w:before="120" w:after="120"/>
        <w:jc w:val="both"/>
        <w:rPr>
          <w:rFonts w:asciiTheme="minorHAnsi" w:hAnsiTheme="minorHAnsi" w:cs="Arial"/>
          <w:b/>
          <w:bCs/>
        </w:rPr>
      </w:pPr>
      <w:r w:rsidRPr="00A252CB">
        <w:rPr>
          <w:rFonts w:asciiTheme="minorHAnsi" w:hAnsiTheme="minorHAnsi" w:cs="Arial"/>
          <w:bCs/>
        </w:rPr>
        <w:t xml:space="preserve">As aplicações previstas neste segmento, cumulativamente, estão limitadas a </w:t>
      </w:r>
      <w:r w:rsidRPr="00A252CB">
        <w:rPr>
          <w:rFonts w:asciiTheme="minorHAnsi" w:hAnsiTheme="minorHAnsi" w:cs="Arial"/>
          <w:b/>
          <w:bCs/>
        </w:rPr>
        <w:t>30%</w:t>
      </w:r>
      <w:r w:rsidRPr="00A252CB">
        <w:rPr>
          <w:rFonts w:asciiTheme="minorHAnsi" w:hAnsiTheme="minorHAnsi" w:cs="Arial"/>
          <w:bCs/>
        </w:rPr>
        <w:t xml:space="preserve"> (trinta por cento) da totalidade das aplicações do RPPS e aos limites de concentração por emissor conforme regulamentação editada pela CVM.</w:t>
      </w:r>
    </w:p>
    <w:p w:rsidR="002D2845" w:rsidRPr="00A252CB" w:rsidRDefault="002D2845" w:rsidP="002D2845">
      <w:pPr>
        <w:pStyle w:val="Subttulo"/>
        <w:spacing w:before="120" w:after="120"/>
        <w:jc w:val="left"/>
        <w:outlineLvl w:val="9"/>
        <w:rPr>
          <w:rFonts w:asciiTheme="minorHAnsi" w:hAnsiTheme="minorHAnsi" w:cs="Arial"/>
          <w:b/>
        </w:rPr>
      </w:pPr>
      <w:r w:rsidRPr="00A252CB">
        <w:rPr>
          <w:rFonts w:asciiTheme="minorHAnsi" w:hAnsiTheme="minorHAnsi" w:cs="Arial"/>
          <w:b/>
        </w:rPr>
        <w:t>11.2.3. Limites Gerais</w:t>
      </w:r>
    </w:p>
    <w:p w:rsidR="002D2845" w:rsidRPr="00A252CB" w:rsidRDefault="002D2845" w:rsidP="002D2845">
      <w:pPr>
        <w:numPr>
          <w:ilvl w:val="0"/>
          <w:numId w:val="15"/>
        </w:numPr>
        <w:spacing w:before="120" w:after="120"/>
        <w:jc w:val="both"/>
        <w:rPr>
          <w:rFonts w:asciiTheme="minorHAnsi" w:hAnsiTheme="minorHAnsi" w:cs="Arial"/>
          <w:b/>
          <w:bCs/>
        </w:rPr>
      </w:pPr>
      <w:r w:rsidRPr="00A252CB">
        <w:rPr>
          <w:rFonts w:asciiTheme="minorHAnsi" w:hAnsiTheme="minorHAnsi" w:cs="Arial"/>
          <w:bCs/>
        </w:rPr>
        <w:t xml:space="preserve">As aplicações em cotas de um mesmo fundo de investimento ou fundo de investimento em cotas de fundos de investimento apresentados nas </w:t>
      </w:r>
      <w:proofErr w:type="gramStart"/>
      <w:r w:rsidRPr="00A252CB">
        <w:rPr>
          <w:rFonts w:asciiTheme="minorHAnsi" w:hAnsiTheme="minorHAnsi" w:cs="Arial"/>
          <w:bCs/>
        </w:rPr>
        <w:t>classes III e IV do segmento de renda fixa</w:t>
      </w:r>
      <w:proofErr w:type="gramEnd"/>
      <w:r w:rsidRPr="00A252CB">
        <w:rPr>
          <w:rFonts w:asciiTheme="minorHAnsi" w:hAnsiTheme="minorHAnsi" w:cs="Arial"/>
          <w:bCs/>
        </w:rPr>
        <w:t xml:space="preserve"> na Tabela de Alocação Objetivo, bem como na classe I do segmento de renda variável da mesma tabela, não podem exceder </w:t>
      </w:r>
      <w:r w:rsidRPr="00A252CB">
        <w:rPr>
          <w:rFonts w:asciiTheme="minorHAnsi" w:hAnsiTheme="minorHAnsi" w:cs="Arial"/>
          <w:b/>
          <w:bCs/>
        </w:rPr>
        <w:t>20%</w:t>
      </w:r>
      <w:r w:rsidRPr="00A252CB">
        <w:rPr>
          <w:rFonts w:asciiTheme="minorHAnsi" w:hAnsiTheme="minorHAnsi" w:cs="Arial"/>
          <w:bCs/>
        </w:rPr>
        <w:t xml:space="preserve"> (vinte por cento) das aplicações dos recursos do RPPS.</w:t>
      </w:r>
    </w:p>
    <w:p w:rsidR="002D2845" w:rsidRPr="00A252CB" w:rsidRDefault="002D2845" w:rsidP="002D2845">
      <w:pPr>
        <w:numPr>
          <w:ilvl w:val="0"/>
          <w:numId w:val="15"/>
        </w:numPr>
        <w:spacing w:before="120" w:after="120"/>
        <w:jc w:val="both"/>
        <w:rPr>
          <w:rFonts w:asciiTheme="minorHAnsi" w:hAnsiTheme="minorHAnsi" w:cs="Arial"/>
          <w:b/>
          <w:bCs/>
        </w:rPr>
      </w:pPr>
      <w:r w:rsidRPr="00A252CB">
        <w:rPr>
          <w:rFonts w:asciiTheme="minorHAnsi" w:hAnsiTheme="minorHAnsi" w:cs="Arial"/>
          <w:bCs/>
        </w:rPr>
        <w:t xml:space="preserve">O total das aplicações dos recursos do RPPS em um mesmo fundo de investimento deverá representar, no máximo, </w:t>
      </w:r>
      <w:r w:rsidRPr="00A252CB">
        <w:rPr>
          <w:rFonts w:asciiTheme="minorHAnsi" w:hAnsiTheme="minorHAnsi" w:cs="Arial"/>
          <w:b/>
          <w:bCs/>
        </w:rPr>
        <w:t>25%</w:t>
      </w:r>
      <w:r w:rsidRPr="00A252CB">
        <w:rPr>
          <w:rFonts w:asciiTheme="minorHAnsi" w:hAnsiTheme="minorHAnsi" w:cs="Arial"/>
          <w:bCs/>
        </w:rPr>
        <w:t xml:space="preserve"> (vinte e cinco por cento) do patrimônio líquido do fundo. Este limite é facultativo nos 120 (cento e vinte) dias </w:t>
      </w:r>
      <w:proofErr w:type="spellStart"/>
      <w:r w:rsidRPr="00A252CB">
        <w:rPr>
          <w:rFonts w:asciiTheme="minorHAnsi" w:hAnsiTheme="minorHAnsi" w:cs="Arial"/>
          <w:bCs/>
        </w:rPr>
        <w:t>subsequentes</w:t>
      </w:r>
      <w:proofErr w:type="spellEnd"/>
      <w:r w:rsidRPr="00A252CB">
        <w:rPr>
          <w:rFonts w:asciiTheme="minorHAnsi" w:hAnsiTheme="minorHAnsi" w:cs="Arial"/>
          <w:bCs/>
        </w:rPr>
        <w:t xml:space="preserve"> à data de início das atividades do fundo.</w:t>
      </w:r>
    </w:p>
    <w:p w:rsidR="002D2845" w:rsidRPr="00A252CB" w:rsidRDefault="002D2845" w:rsidP="002D2845">
      <w:pPr>
        <w:spacing w:before="120" w:after="120"/>
        <w:jc w:val="both"/>
        <w:rPr>
          <w:rFonts w:asciiTheme="minorHAnsi" w:hAnsiTheme="minorHAnsi" w:cs="Arial"/>
          <w:b/>
          <w:bCs/>
        </w:rPr>
      </w:pPr>
    </w:p>
    <w:p w:rsidR="002D2845" w:rsidRPr="00A252CB" w:rsidRDefault="002D2845" w:rsidP="002D2845">
      <w:pPr>
        <w:pStyle w:val="Ttulo"/>
        <w:numPr>
          <w:ilvl w:val="0"/>
          <w:numId w:val="18"/>
        </w:numPr>
        <w:spacing w:before="120" w:after="120"/>
        <w:jc w:val="left"/>
        <w:rPr>
          <w:rFonts w:asciiTheme="minorHAnsi" w:hAnsiTheme="minorHAnsi" w:cs="Arial"/>
          <w:sz w:val="24"/>
          <w:szCs w:val="24"/>
        </w:rPr>
      </w:pPr>
      <w:bookmarkStart w:id="31" w:name="_Toc404173782"/>
      <w:r w:rsidRPr="00A252CB">
        <w:rPr>
          <w:rFonts w:asciiTheme="minorHAnsi" w:hAnsiTheme="minorHAnsi" w:cs="Arial"/>
          <w:sz w:val="24"/>
          <w:szCs w:val="24"/>
        </w:rPr>
        <w:t>PRECIFICAÇÃO E MARCAÇÃO DOS ATIVOS</w:t>
      </w:r>
      <w:bookmarkEnd w:id="30"/>
      <w:bookmarkEnd w:id="31"/>
    </w:p>
    <w:p w:rsidR="002D2845" w:rsidRPr="003D4F7F" w:rsidRDefault="002D2845" w:rsidP="002D2845">
      <w:pPr>
        <w:spacing w:before="120" w:after="120"/>
        <w:jc w:val="both"/>
        <w:rPr>
          <w:rFonts w:asciiTheme="minorHAnsi" w:hAnsiTheme="minorHAnsi" w:cs="Arial"/>
        </w:rPr>
      </w:pPr>
      <w:r w:rsidRPr="00A252CB">
        <w:rPr>
          <w:rFonts w:asciiTheme="minorHAnsi" w:hAnsiTheme="minorHAnsi" w:cs="Arial"/>
        </w:rPr>
        <w:t xml:space="preserve">Na existência de carteira própria de </w:t>
      </w:r>
      <w:r w:rsidRPr="003D4F7F">
        <w:rPr>
          <w:rFonts w:asciiTheme="minorHAnsi" w:hAnsiTheme="minorHAnsi" w:cs="Arial"/>
        </w:rPr>
        <w:t xml:space="preserve">títulos de emissão do Tesouro Nacional, compete ao responsável pela gestão </w:t>
      </w:r>
      <w:proofErr w:type="spellStart"/>
      <w:proofErr w:type="gramStart"/>
      <w:r w:rsidRPr="003D4F7F">
        <w:rPr>
          <w:rFonts w:asciiTheme="minorHAnsi" w:hAnsiTheme="minorHAnsi" w:cs="Arial"/>
        </w:rPr>
        <w:t>doColombo</w:t>
      </w:r>
      <w:proofErr w:type="spellEnd"/>
      <w:proofErr w:type="gramEnd"/>
      <w:r w:rsidRPr="003D4F7F">
        <w:rPr>
          <w:rFonts w:asciiTheme="minorHAnsi" w:hAnsiTheme="minorHAnsi" w:cs="Arial"/>
        </w:rPr>
        <w:t xml:space="preserve"> </w:t>
      </w:r>
      <w:proofErr w:type="spellStart"/>
      <w:r w:rsidRPr="003D4F7F">
        <w:rPr>
          <w:rFonts w:asciiTheme="minorHAnsi" w:hAnsiTheme="minorHAnsi" w:cs="Arial"/>
        </w:rPr>
        <w:t>Previdênciaobservar</w:t>
      </w:r>
      <w:proofErr w:type="spellEnd"/>
      <w:r w:rsidRPr="003D4F7F">
        <w:rPr>
          <w:rFonts w:asciiTheme="minorHAnsi" w:hAnsiTheme="minorHAnsi" w:cs="Arial"/>
        </w:rPr>
        <w:t xml:space="preserve"> as informações divulgadas, diariamente, por entidades reconhecidamente idôneas pela sua transparência e elevado padrão técnico na difusão de preços e taxas dos títulos.</w:t>
      </w:r>
    </w:p>
    <w:p w:rsidR="002D2845" w:rsidRPr="003D4F7F" w:rsidRDefault="002D2845" w:rsidP="002D2845">
      <w:pPr>
        <w:spacing w:before="120" w:after="120"/>
        <w:jc w:val="both"/>
        <w:rPr>
          <w:rFonts w:asciiTheme="minorHAnsi" w:hAnsiTheme="minorHAnsi" w:cs="Arial"/>
          <w:b/>
          <w:bCs/>
        </w:rPr>
      </w:pPr>
      <w:r w:rsidRPr="003D4F7F">
        <w:rPr>
          <w:rFonts w:asciiTheme="minorHAnsi" w:hAnsiTheme="minorHAnsi" w:cs="Arial"/>
        </w:rPr>
        <w:t>A finalidade é a de utilização como referência em negociações no mercado financeiro, antes do efetivo fechamento da operação e para a marcação a mercado dos mencionados títulos. Caso a gestão da mencionada carteira seja feita por entidade autorizada e credenciada, deve a gestão do Instituto exigir que a marcação a mercado dos referidos títulos seja efetuada pelo gestor.</w:t>
      </w:r>
    </w:p>
    <w:p w:rsidR="002D2845" w:rsidRPr="003D4F7F" w:rsidRDefault="002D2845" w:rsidP="002D2845">
      <w:pPr>
        <w:spacing w:before="120" w:after="120"/>
        <w:jc w:val="both"/>
        <w:rPr>
          <w:rFonts w:asciiTheme="minorHAnsi" w:hAnsiTheme="minorHAnsi" w:cs="Arial"/>
          <w:b/>
          <w:bCs/>
        </w:rPr>
      </w:pPr>
      <w:r w:rsidRPr="003D4F7F">
        <w:rPr>
          <w:rFonts w:asciiTheme="minorHAnsi" w:hAnsiTheme="minorHAnsi" w:cs="Arial"/>
        </w:rPr>
        <w:t>Em relação aos fundos de investimento, por serem geridos externamente, cabe primariamente aos seus gestores observar os critérios de precificação dos ativos respeitando as normas pré-estabelecidas pelo mercado e pela legislação vigente.</w:t>
      </w:r>
    </w:p>
    <w:p w:rsidR="002D2845" w:rsidRPr="003D4F7F" w:rsidRDefault="002D2845" w:rsidP="002D2845">
      <w:pPr>
        <w:spacing w:before="120" w:after="120"/>
        <w:jc w:val="both"/>
        <w:rPr>
          <w:rFonts w:asciiTheme="minorHAnsi" w:hAnsiTheme="minorHAnsi" w:cs="Arial"/>
        </w:rPr>
      </w:pPr>
      <w:r w:rsidRPr="003D4F7F">
        <w:rPr>
          <w:rFonts w:asciiTheme="minorHAnsi" w:hAnsiTheme="minorHAnsi" w:cs="Arial"/>
        </w:rPr>
        <w:t xml:space="preserve">De forma geral, o Colombo </w:t>
      </w:r>
      <w:proofErr w:type="spellStart"/>
      <w:r w:rsidRPr="003D4F7F">
        <w:rPr>
          <w:rFonts w:asciiTheme="minorHAnsi" w:hAnsiTheme="minorHAnsi" w:cs="Arial"/>
        </w:rPr>
        <w:t>Previdênciaestabeleceu</w:t>
      </w:r>
      <w:proofErr w:type="spellEnd"/>
      <w:r w:rsidRPr="003D4F7F">
        <w:rPr>
          <w:rFonts w:asciiTheme="minorHAnsi" w:hAnsiTheme="minorHAnsi" w:cs="Arial"/>
        </w:rPr>
        <w:t xml:space="preserve"> o critério de marcação a mercado dos ativos, não importando o veículo de investimento.</w:t>
      </w:r>
      <w:bookmarkStart w:id="32" w:name="_Toc280352493"/>
    </w:p>
    <w:p w:rsidR="002D2845" w:rsidRPr="003D4F7F" w:rsidRDefault="002D2845" w:rsidP="002D2845">
      <w:pPr>
        <w:spacing w:before="120" w:after="120"/>
        <w:jc w:val="both"/>
        <w:rPr>
          <w:rFonts w:asciiTheme="minorHAnsi" w:hAnsiTheme="minorHAnsi" w:cs="Arial"/>
          <w:b/>
          <w:bCs/>
        </w:rPr>
      </w:pPr>
    </w:p>
    <w:p w:rsidR="002D2845" w:rsidRPr="003D4F7F" w:rsidRDefault="002D2845" w:rsidP="002D2845">
      <w:pPr>
        <w:pStyle w:val="Ttulo"/>
        <w:numPr>
          <w:ilvl w:val="0"/>
          <w:numId w:val="18"/>
        </w:numPr>
        <w:spacing w:before="120" w:after="120"/>
        <w:jc w:val="left"/>
        <w:rPr>
          <w:rFonts w:asciiTheme="minorHAnsi" w:hAnsiTheme="minorHAnsi" w:cs="Arial"/>
          <w:sz w:val="24"/>
          <w:szCs w:val="24"/>
        </w:rPr>
      </w:pPr>
      <w:bookmarkStart w:id="33" w:name="_Toc404173783"/>
      <w:r w:rsidRPr="003D4F7F">
        <w:rPr>
          <w:rFonts w:asciiTheme="minorHAnsi" w:hAnsiTheme="minorHAnsi" w:cs="Arial"/>
          <w:sz w:val="24"/>
          <w:szCs w:val="24"/>
        </w:rPr>
        <w:t>CLASSIFICAÇÃO E CONTROLE DOS RISCOS DE GESTÃO</w:t>
      </w:r>
      <w:bookmarkEnd w:id="32"/>
      <w:bookmarkEnd w:id="33"/>
    </w:p>
    <w:p w:rsidR="002D2845" w:rsidRPr="003D4F7F" w:rsidRDefault="002D2845" w:rsidP="002D2845">
      <w:pPr>
        <w:spacing w:before="120" w:after="120"/>
        <w:jc w:val="both"/>
        <w:rPr>
          <w:rFonts w:asciiTheme="minorHAnsi" w:hAnsiTheme="minorHAnsi" w:cs="Arial"/>
        </w:rPr>
      </w:pPr>
      <w:r w:rsidRPr="003D4F7F">
        <w:rPr>
          <w:rFonts w:asciiTheme="minorHAnsi" w:hAnsiTheme="minorHAnsi" w:cs="Arial"/>
        </w:rPr>
        <w:t xml:space="preserve">Qualquer que seja o modelo de gestão, os riscos a que está sujeita estão classificados abaixo e é preocupação constante </w:t>
      </w:r>
      <w:proofErr w:type="spellStart"/>
      <w:proofErr w:type="gramStart"/>
      <w:r w:rsidRPr="003D4F7F">
        <w:rPr>
          <w:rFonts w:asciiTheme="minorHAnsi" w:hAnsiTheme="minorHAnsi" w:cs="Arial"/>
        </w:rPr>
        <w:t>doColombo</w:t>
      </w:r>
      <w:proofErr w:type="spellEnd"/>
      <w:proofErr w:type="gramEnd"/>
      <w:r w:rsidRPr="003D4F7F">
        <w:rPr>
          <w:rFonts w:asciiTheme="minorHAnsi" w:hAnsiTheme="minorHAnsi" w:cs="Arial"/>
        </w:rPr>
        <w:t xml:space="preserve"> </w:t>
      </w:r>
      <w:proofErr w:type="spellStart"/>
      <w:r w:rsidRPr="003D4F7F">
        <w:rPr>
          <w:rFonts w:asciiTheme="minorHAnsi" w:hAnsiTheme="minorHAnsi" w:cs="Arial"/>
        </w:rPr>
        <w:t>Previdênciao</w:t>
      </w:r>
      <w:proofErr w:type="spellEnd"/>
      <w:r w:rsidRPr="003D4F7F">
        <w:rPr>
          <w:rFonts w:asciiTheme="minorHAnsi" w:hAnsiTheme="minorHAnsi" w:cs="Arial"/>
        </w:rPr>
        <w:t xml:space="preserve"> seu continuado monitoramento.</w:t>
      </w:r>
      <w:bookmarkStart w:id="34" w:name="_Toc219780933"/>
      <w:bookmarkStart w:id="35" w:name="_Toc280352494"/>
    </w:p>
    <w:p w:rsidR="002D2845" w:rsidRPr="003D4F7F" w:rsidRDefault="002D2845" w:rsidP="002D2845">
      <w:pPr>
        <w:pStyle w:val="Subttulo"/>
        <w:spacing w:before="120" w:after="120"/>
        <w:jc w:val="left"/>
        <w:outlineLvl w:val="9"/>
        <w:rPr>
          <w:rFonts w:asciiTheme="minorHAnsi" w:hAnsiTheme="minorHAnsi" w:cs="Arial"/>
          <w:b/>
        </w:rPr>
      </w:pPr>
      <w:r w:rsidRPr="003D4F7F">
        <w:rPr>
          <w:rFonts w:asciiTheme="minorHAnsi" w:hAnsiTheme="minorHAnsi" w:cs="Arial"/>
          <w:b/>
        </w:rPr>
        <w:lastRenderedPageBreak/>
        <w:t>13.1. RISCO DE MERCADO</w:t>
      </w:r>
      <w:bookmarkEnd w:id="34"/>
      <w:bookmarkEnd w:id="35"/>
    </w:p>
    <w:p w:rsidR="002D2845" w:rsidRPr="003D4F7F" w:rsidRDefault="002D2845" w:rsidP="002D2845">
      <w:pPr>
        <w:spacing w:before="120" w:after="120"/>
        <w:jc w:val="both"/>
        <w:rPr>
          <w:rFonts w:asciiTheme="minorHAnsi" w:hAnsiTheme="minorHAnsi" w:cs="Arial"/>
          <w:b/>
          <w:bCs/>
        </w:rPr>
      </w:pPr>
      <w:r w:rsidRPr="003D4F7F">
        <w:rPr>
          <w:rFonts w:asciiTheme="minorHAnsi" w:hAnsiTheme="minorHAnsi" w:cs="Arial"/>
        </w:rPr>
        <w:t xml:space="preserve">É o risco a que todas as modalidades de aplicações financeiras estão sujeitas. Derivam </w:t>
      </w:r>
      <w:proofErr w:type="spellStart"/>
      <w:r w:rsidRPr="003D4F7F">
        <w:rPr>
          <w:rFonts w:asciiTheme="minorHAnsi" w:hAnsiTheme="minorHAnsi" w:cs="Arial"/>
        </w:rPr>
        <w:t>dasincertezas</w:t>
      </w:r>
      <w:proofErr w:type="spellEnd"/>
      <w:r w:rsidRPr="003D4F7F">
        <w:rPr>
          <w:rFonts w:asciiTheme="minorHAnsi" w:hAnsiTheme="minorHAnsi" w:cs="Arial"/>
        </w:rPr>
        <w:t xml:space="preserve"> quanto ao resultado de um investimento dadas as oscilações nas taxas e preços, em decorrência das mudanças nas condições de mercado.</w:t>
      </w:r>
    </w:p>
    <w:p w:rsidR="002D2845" w:rsidRPr="003D4F7F" w:rsidRDefault="002D2845" w:rsidP="002D2845">
      <w:pPr>
        <w:spacing w:before="120" w:after="120"/>
        <w:jc w:val="both"/>
        <w:rPr>
          <w:rFonts w:asciiTheme="minorHAnsi" w:hAnsiTheme="minorHAnsi" w:cs="Arial"/>
          <w:b/>
          <w:bCs/>
        </w:rPr>
      </w:pPr>
      <w:r w:rsidRPr="003D4F7F">
        <w:rPr>
          <w:rFonts w:asciiTheme="minorHAnsi" w:hAnsiTheme="minorHAnsi" w:cs="Arial"/>
        </w:rPr>
        <w:t xml:space="preserve">Para o seu controle, são apuradas as volatilidades das diferentes classes de ativos a que a carteira do Colombo </w:t>
      </w:r>
      <w:proofErr w:type="spellStart"/>
      <w:r w:rsidRPr="003D4F7F">
        <w:rPr>
          <w:rFonts w:asciiTheme="minorHAnsi" w:hAnsiTheme="minorHAnsi" w:cs="Arial"/>
        </w:rPr>
        <w:t>Previdênciaestá</w:t>
      </w:r>
      <w:proofErr w:type="spellEnd"/>
      <w:r w:rsidRPr="003D4F7F">
        <w:rPr>
          <w:rFonts w:asciiTheme="minorHAnsi" w:hAnsiTheme="minorHAnsi" w:cs="Arial"/>
        </w:rPr>
        <w:t xml:space="preserve"> exposta. </w:t>
      </w:r>
    </w:p>
    <w:p w:rsidR="002D2845" w:rsidRPr="003D4F7F" w:rsidRDefault="002D2845" w:rsidP="002D2845">
      <w:pPr>
        <w:spacing w:before="120" w:after="120"/>
        <w:jc w:val="both"/>
        <w:rPr>
          <w:rFonts w:asciiTheme="minorHAnsi" w:hAnsiTheme="minorHAnsi" w:cs="Arial"/>
          <w:b/>
          <w:bCs/>
        </w:rPr>
      </w:pPr>
      <w:r w:rsidRPr="003D4F7F">
        <w:rPr>
          <w:rFonts w:asciiTheme="minorHAnsi" w:hAnsiTheme="minorHAnsi" w:cs="Arial"/>
        </w:rPr>
        <w:t>Com base neste critério, podem ser monitorados, além dos fatores de risco com maior impacto na carteira, os valores financeiros envolvidos.</w:t>
      </w:r>
    </w:p>
    <w:p w:rsidR="002D2845" w:rsidRPr="003D4F7F" w:rsidRDefault="002D2845" w:rsidP="002D2845">
      <w:pPr>
        <w:spacing w:before="120" w:after="120"/>
        <w:jc w:val="both"/>
        <w:rPr>
          <w:rFonts w:asciiTheme="minorHAnsi" w:hAnsiTheme="minorHAnsi" w:cs="Arial"/>
          <w:b/>
          <w:bCs/>
        </w:rPr>
      </w:pPr>
      <w:r w:rsidRPr="003D4F7F">
        <w:rPr>
          <w:rFonts w:asciiTheme="minorHAnsi" w:hAnsiTheme="minorHAnsi" w:cs="Arial"/>
        </w:rPr>
        <w:t>Cabe também destacar a importância do monitoramento da correlação entre diferentes mercados, como forma de antecipar os impactos na carteira do Instituto.</w:t>
      </w:r>
    </w:p>
    <w:p w:rsidR="002D2845" w:rsidRPr="003D4F7F" w:rsidRDefault="002D2845" w:rsidP="002D2845">
      <w:pPr>
        <w:spacing w:before="120" w:after="120"/>
        <w:jc w:val="both"/>
        <w:rPr>
          <w:rFonts w:asciiTheme="minorHAnsi" w:hAnsiTheme="minorHAnsi" w:cs="Arial"/>
          <w:b/>
          <w:bCs/>
        </w:rPr>
      </w:pPr>
      <w:r w:rsidRPr="003D4F7F">
        <w:rPr>
          <w:rFonts w:asciiTheme="minorHAnsi" w:hAnsiTheme="minorHAnsi" w:cs="Arial"/>
        </w:rPr>
        <w:t xml:space="preserve">Para </w:t>
      </w:r>
      <w:proofErr w:type="gramStart"/>
      <w:r w:rsidRPr="003D4F7F">
        <w:rPr>
          <w:rFonts w:asciiTheme="minorHAnsi" w:hAnsiTheme="minorHAnsi" w:cs="Arial"/>
        </w:rPr>
        <w:t>otimizar</w:t>
      </w:r>
      <w:proofErr w:type="gramEnd"/>
      <w:r w:rsidRPr="003D4F7F">
        <w:rPr>
          <w:rFonts w:asciiTheme="minorHAnsi" w:hAnsiTheme="minorHAnsi" w:cs="Arial"/>
        </w:rPr>
        <w:t xml:space="preserve"> os resultados obtidos pela gestão da carteira de ativos podem ser geradas fronteiras eficientes, onde serão evidenciados os retornos possíveis dados determinados graus de risco.</w:t>
      </w:r>
    </w:p>
    <w:p w:rsidR="002D2845" w:rsidRPr="003D4F7F" w:rsidRDefault="002D2845" w:rsidP="002D2845">
      <w:pPr>
        <w:spacing w:before="120" w:after="120"/>
        <w:jc w:val="both"/>
        <w:rPr>
          <w:rFonts w:asciiTheme="minorHAnsi" w:hAnsiTheme="minorHAnsi" w:cs="Arial"/>
        </w:rPr>
      </w:pPr>
      <w:r w:rsidRPr="003D4F7F">
        <w:rPr>
          <w:rFonts w:asciiTheme="minorHAnsi" w:hAnsiTheme="minorHAnsi" w:cs="Arial"/>
        </w:rPr>
        <w:t xml:space="preserve">Através do Índice de Sharp, pode também ser </w:t>
      </w:r>
      <w:proofErr w:type="spellStart"/>
      <w:r w:rsidRPr="003D4F7F">
        <w:rPr>
          <w:rFonts w:asciiTheme="minorHAnsi" w:hAnsiTheme="minorHAnsi" w:cs="Arial"/>
        </w:rPr>
        <w:t>avaliadoo</w:t>
      </w:r>
      <w:proofErr w:type="spellEnd"/>
      <w:r w:rsidRPr="003D4F7F">
        <w:rPr>
          <w:rFonts w:asciiTheme="minorHAnsi" w:hAnsiTheme="minorHAnsi" w:cs="Arial"/>
        </w:rPr>
        <w:t xml:space="preserve"> retorno da carteira frente ao fator risco.</w:t>
      </w:r>
      <w:bookmarkStart w:id="36" w:name="_Toc219780934"/>
      <w:bookmarkStart w:id="37" w:name="_Toc280352495"/>
    </w:p>
    <w:p w:rsidR="002D2845" w:rsidRPr="003D4F7F" w:rsidRDefault="002D2845" w:rsidP="002D2845">
      <w:pPr>
        <w:spacing w:before="120" w:after="120"/>
        <w:jc w:val="both"/>
        <w:rPr>
          <w:rFonts w:asciiTheme="minorHAnsi" w:hAnsiTheme="minorHAnsi" w:cs="Arial"/>
          <w:b/>
          <w:bCs/>
        </w:rPr>
      </w:pPr>
    </w:p>
    <w:p w:rsidR="002D2845" w:rsidRPr="003D4F7F" w:rsidRDefault="002D2845" w:rsidP="002D2845">
      <w:pPr>
        <w:pStyle w:val="Subttulo"/>
        <w:spacing w:before="120" w:after="120"/>
        <w:jc w:val="left"/>
        <w:outlineLvl w:val="9"/>
        <w:rPr>
          <w:rFonts w:asciiTheme="minorHAnsi" w:hAnsiTheme="minorHAnsi" w:cs="Arial"/>
          <w:b/>
        </w:rPr>
      </w:pPr>
      <w:r w:rsidRPr="003D4F7F">
        <w:rPr>
          <w:rFonts w:asciiTheme="minorHAnsi" w:hAnsiTheme="minorHAnsi" w:cs="Arial"/>
          <w:b/>
        </w:rPr>
        <w:t>13.2. RISCO DE CRÉDITO</w:t>
      </w:r>
      <w:bookmarkEnd w:id="36"/>
      <w:bookmarkEnd w:id="37"/>
    </w:p>
    <w:p w:rsidR="002D2845" w:rsidRPr="003D4F7F" w:rsidRDefault="002D2845" w:rsidP="002D2845">
      <w:pPr>
        <w:spacing w:before="120" w:after="120"/>
        <w:jc w:val="both"/>
        <w:rPr>
          <w:rFonts w:asciiTheme="minorHAnsi" w:hAnsiTheme="minorHAnsi" w:cs="Arial"/>
          <w:b/>
          <w:bCs/>
        </w:rPr>
      </w:pPr>
      <w:r w:rsidRPr="003D4F7F">
        <w:rPr>
          <w:rFonts w:asciiTheme="minorHAnsi" w:hAnsiTheme="minorHAnsi" w:cs="Arial"/>
        </w:rPr>
        <w:t>É o risco conhecido como institucional ou de contraparte. É quando há a possibilidade de que o emissor ou garantidor de determinado ativo, não honre as condições e prazos pactuados e contratados com o investidor.</w:t>
      </w:r>
    </w:p>
    <w:p w:rsidR="002D2845" w:rsidRPr="00A252CB" w:rsidRDefault="002D2845" w:rsidP="002D2845">
      <w:pPr>
        <w:spacing w:before="120" w:after="120"/>
        <w:jc w:val="both"/>
        <w:rPr>
          <w:rFonts w:asciiTheme="minorHAnsi" w:hAnsiTheme="minorHAnsi" w:cs="Arial"/>
        </w:rPr>
      </w:pPr>
      <w:r w:rsidRPr="003D4F7F">
        <w:rPr>
          <w:rFonts w:asciiTheme="minorHAnsi" w:hAnsiTheme="minorHAnsi" w:cs="Arial"/>
        </w:rPr>
        <w:t xml:space="preserve">Para avaliar o risco de crédito a que </w:t>
      </w:r>
      <w:proofErr w:type="spellStart"/>
      <w:proofErr w:type="gramStart"/>
      <w:r w:rsidRPr="003D4F7F">
        <w:rPr>
          <w:rFonts w:asciiTheme="minorHAnsi" w:hAnsiTheme="minorHAnsi" w:cs="Arial"/>
        </w:rPr>
        <w:t>oColombo</w:t>
      </w:r>
      <w:proofErr w:type="spellEnd"/>
      <w:proofErr w:type="gramEnd"/>
      <w:r w:rsidRPr="003D4F7F">
        <w:rPr>
          <w:rFonts w:asciiTheme="minorHAnsi" w:hAnsiTheme="minorHAnsi" w:cs="Arial"/>
        </w:rPr>
        <w:t xml:space="preserve"> </w:t>
      </w:r>
      <w:proofErr w:type="spellStart"/>
      <w:r w:rsidRPr="003D4F7F">
        <w:rPr>
          <w:rFonts w:asciiTheme="minorHAnsi" w:hAnsiTheme="minorHAnsi" w:cs="Arial"/>
        </w:rPr>
        <w:t>Previdênciaestará</w:t>
      </w:r>
      <w:proofErr w:type="spellEnd"/>
      <w:r w:rsidRPr="003D4F7F">
        <w:rPr>
          <w:rFonts w:asciiTheme="minorHAnsi" w:hAnsiTheme="minorHAnsi" w:cs="Arial"/>
        </w:rPr>
        <w:t xml:space="preserve"> sujeito nos investimentos que realizar, fundamentará as suas decisões em avaliações de crédito (</w:t>
      </w:r>
      <w:proofErr w:type="spellStart"/>
      <w:r w:rsidRPr="003D4F7F">
        <w:rPr>
          <w:rFonts w:asciiTheme="minorHAnsi" w:hAnsiTheme="minorHAnsi" w:cs="Arial"/>
          <w:i/>
        </w:rPr>
        <w:t>ratings</w:t>
      </w:r>
      <w:proofErr w:type="spellEnd"/>
      <w:r w:rsidRPr="003D4F7F">
        <w:rPr>
          <w:rFonts w:asciiTheme="minorHAnsi" w:hAnsiTheme="minorHAnsi" w:cs="Arial"/>
        </w:rPr>
        <w:t>) elaboradas pelas seguintes agências:</w:t>
      </w:r>
    </w:p>
    <w:p w:rsidR="002D2845" w:rsidRPr="00A252CB" w:rsidRDefault="002D2845" w:rsidP="002D2845">
      <w:pPr>
        <w:numPr>
          <w:ilvl w:val="0"/>
          <w:numId w:val="16"/>
        </w:numPr>
        <w:spacing w:before="120" w:after="120"/>
        <w:jc w:val="both"/>
        <w:rPr>
          <w:rFonts w:asciiTheme="minorHAnsi" w:hAnsiTheme="minorHAnsi" w:cs="Arial"/>
          <w:b/>
          <w:bCs/>
        </w:rPr>
      </w:pPr>
      <w:r w:rsidRPr="00A252CB">
        <w:rPr>
          <w:rFonts w:asciiTheme="minorHAnsi" w:hAnsiTheme="minorHAnsi" w:cs="Arial"/>
        </w:rPr>
        <w:t xml:space="preserve">Fitch </w:t>
      </w:r>
      <w:proofErr w:type="spellStart"/>
      <w:r w:rsidRPr="00A252CB">
        <w:rPr>
          <w:rFonts w:asciiTheme="minorHAnsi" w:hAnsiTheme="minorHAnsi" w:cs="Arial"/>
        </w:rPr>
        <w:t>Ratings</w:t>
      </w:r>
      <w:proofErr w:type="spellEnd"/>
      <w:r w:rsidRPr="00A252CB">
        <w:rPr>
          <w:rFonts w:asciiTheme="minorHAnsi" w:hAnsiTheme="minorHAnsi" w:cs="Arial"/>
        </w:rPr>
        <w:t>;</w:t>
      </w:r>
    </w:p>
    <w:p w:rsidR="002D2845" w:rsidRPr="00A252CB" w:rsidRDefault="002D2845" w:rsidP="002D2845">
      <w:pPr>
        <w:numPr>
          <w:ilvl w:val="0"/>
          <w:numId w:val="16"/>
        </w:numPr>
        <w:spacing w:before="120" w:after="120"/>
        <w:jc w:val="both"/>
        <w:rPr>
          <w:rFonts w:asciiTheme="minorHAnsi" w:hAnsiTheme="minorHAnsi" w:cs="Arial"/>
          <w:b/>
          <w:bCs/>
        </w:rPr>
      </w:pPr>
      <w:proofErr w:type="spellStart"/>
      <w:r w:rsidRPr="00A252CB">
        <w:rPr>
          <w:rFonts w:asciiTheme="minorHAnsi" w:hAnsiTheme="minorHAnsi" w:cs="Arial"/>
        </w:rPr>
        <w:t>Moody’s</w:t>
      </w:r>
      <w:proofErr w:type="spellEnd"/>
      <w:r w:rsidRPr="00A252CB">
        <w:rPr>
          <w:rFonts w:asciiTheme="minorHAnsi" w:hAnsiTheme="minorHAnsi" w:cs="Arial"/>
        </w:rPr>
        <w:t xml:space="preserve"> </w:t>
      </w:r>
      <w:proofErr w:type="spellStart"/>
      <w:r w:rsidRPr="00A252CB">
        <w:rPr>
          <w:rFonts w:asciiTheme="minorHAnsi" w:hAnsiTheme="minorHAnsi" w:cs="Arial"/>
        </w:rPr>
        <w:t>Investor</w:t>
      </w:r>
      <w:proofErr w:type="spellEnd"/>
      <w:r w:rsidRPr="00A252CB">
        <w:rPr>
          <w:rFonts w:asciiTheme="minorHAnsi" w:hAnsiTheme="minorHAnsi" w:cs="Arial"/>
        </w:rPr>
        <w:t>;</w:t>
      </w:r>
    </w:p>
    <w:p w:rsidR="002D2845" w:rsidRPr="00A252CB" w:rsidRDefault="002D2845" w:rsidP="002D2845">
      <w:pPr>
        <w:numPr>
          <w:ilvl w:val="0"/>
          <w:numId w:val="16"/>
        </w:numPr>
        <w:spacing w:before="120" w:after="120"/>
        <w:jc w:val="both"/>
        <w:rPr>
          <w:rFonts w:asciiTheme="minorHAnsi" w:hAnsiTheme="minorHAnsi" w:cs="Arial"/>
          <w:b/>
          <w:bCs/>
        </w:rPr>
      </w:pPr>
      <w:r w:rsidRPr="00A252CB">
        <w:rPr>
          <w:rFonts w:asciiTheme="minorHAnsi" w:hAnsiTheme="minorHAnsi" w:cs="Arial"/>
        </w:rPr>
        <w:t xml:space="preserve">Austin </w:t>
      </w:r>
      <w:proofErr w:type="spellStart"/>
      <w:r w:rsidRPr="00A252CB">
        <w:rPr>
          <w:rFonts w:asciiTheme="minorHAnsi" w:hAnsiTheme="minorHAnsi" w:cs="Arial"/>
        </w:rPr>
        <w:t>Rating</w:t>
      </w:r>
      <w:proofErr w:type="spellEnd"/>
      <w:r w:rsidRPr="00A252CB">
        <w:rPr>
          <w:rFonts w:asciiTheme="minorHAnsi" w:hAnsiTheme="minorHAnsi" w:cs="Arial"/>
        </w:rPr>
        <w:t>;</w:t>
      </w:r>
    </w:p>
    <w:p w:rsidR="002D2845" w:rsidRPr="00A252CB" w:rsidRDefault="002D2845" w:rsidP="002D2845">
      <w:pPr>
        <w:numPr>
          <w:ilvl w:val="0"/>
          <w:numId w:val="16"/>
        </w:numPr>
        <w:spacing w:before="120" w:after="120"/>
        <w:jc w:val="both"/>
        <w:rPr>
          <w:rFonts w:asciiTheme="minorHAnsi" w:hAnsiTheme="minorHAnsi" w:cs="Arial"/>
          <w:b/>
          <w:bCs/>
        </w:rPr>
      </w:pPr>
      <w:r w:rsidRPr="00A252CB">
        <w:rPr>
          <w:rFonts w:asciiTheme="minorHAnsi" w:hAnsiTheme="minorHAnsi" w:cs="Arial"/>
        </w:rPr>
        <w:t xml:space="preserve">Standard &amp; </w:t>
      </w:r>
      <w:proofErr w:type="spellStart"/>
      <w:r w:rsidRPr="00A252CB">
        <w:rPr>
          <w:rFonts w:asciiTheme="minorHAnsi" w:hAnsiTheme="minorHAnsi" w:cs="Arial"/>
        </w:rPr>
        <w:t>Poor’s</w:t>
      </w:r>
      <w:proofErr w:type="spellEnd"/>
      <w:r w:rsidRPr="00A252CB">
        <w:rPr>
          <w:rFonts w:asciiTheme="minorHAnsi" w:hAnsiTheme="minorHAnsi" w:cs="Arial"/>
        </w:rPr>
        <w:t>;</w:t>
      </w:r>
    </w:p>
    <w:p w:rsidR="002D2845" w:rsidRPr="00A252CB" w:rsidRDefault="002D2845" w:rsidP="002D2845">
      <w:pPr>
        <w:numPr>
          <w:ilvl w:val="0"/>
          <w:numId w:val="16"/>
        </w:numPr>
        <w:spacing w:before="120" w:after="120"/>
        <w:jc w:val="both"/>
        <w:rPr>
          <w:rFonts w:asciiTheme="minorHAnsi" w:hAnsiTheme="minorHAnsi" w:cs="Arial"/>
          <w:b/>
          <w:bCs/>
        </w:rPr>
      </w:pPr>
      <w:r w:rsidRPr="00A252CB">
        <w:rPr>
          <w:rFonts w:asciiTheme="minorHAnsi" w:hAnsiTheme="minorHAnsi" w:cs="Arial"/>
        </w:rPr>
        <w:t xml:space="preserve">SR </w:t>
      </w:r>
      <w:proofErr w:type="spellStart"/>
      <w:r w:rsidRPr="00A252CB">
        <w:rPr>
          <w:rFonts w:asciiTheme="minorHAnsi" w:hAnsiTheme="minorHAnsi" w:cs="Arial"/>
        </w:rPr>
        <w:t>Rating</w:t>
      </w:r>
      <w:proofErr w:type="spellEnd"/>
      <w:r w:rsidRPr="00A252CB">
        <w:rPr>
          <w:rFonts w:asciiTheme="minorHAnsi" w:hAnsiTheme="minorHAnsi" w:cs="Arial"/>
        </w:rPr>
        <w:t>.</w:t>
      </w:r>
    </w:p>
    <w:p w:rsidR="002D2845" w:rsidRPr="003D4F7F" w:rsidRDefault="002D2845" w:rsidP="002D2845">
      <w:pPr>
        <w:spacing w:before="120" w:after="120"/>
        <w:jc w:val="both"/>
        <w:rPr>
          <w:rFonts w:asciiTheme="minorHAnsi" w:hAnsiTheme="minorHAnsi" w:cs="Arial"/>
        </w:rPr>
      </w:pPr>
      <w:r w:rsidRPr="00A252CB">
        <w:rPr>
          <w:rFonts w:asciiTheme="minorHAnsi" w:hAnsiTheme="minorHAnsi" w:cs="Arial"/>
        </w:rPr>
        <w:t xml:space="preserve">Na hipótese de que determinado investimento realizado </w:t>
      </w:r>
      <w:r w:rsidRPr="003D4F7F">
        <w:rPr>
          <w:rFonts w:asciiTheme="minorHAnsi" w:hAnsiTheme="minorHAnsi" w:cs="Arial"/>
        </w:rPr>
        <w:t xml:space="preserve">pelo Colombo </w:t>
      </w:r>
      <w:proofErr w:type="spellStart"/>
      <w:r w:rsidRPr="003D4F7F">
        <w:rPr>
          <w:rFonts w:asciiTheme="minorHAnsi" w:hAnsiTheme="minorHAnsi" w:cs="Arial"/>
        </w:rPr>
        <w:t>Previdênciaexija</w:t>
      </w:r>
      <w:proofErr w:type="spellEnd"/>
      <w:r w:rsidRPr="003D4F7F">
        <w:rPr>
          <w:rFonts w:asciiTheme="minorHAnsi" w:hAnsiTheme="minorHAnsi" w:cs="Arial"/>
        </w:rPr>
        <w:t xml:space="preserve"> classificação de risco de crédito, será considerado aquele que tenha baixo risco conforme os padrões de avaliação das agências acima.</w:t>
      </w:r>
      <w:bookmarkStart w:id="38" w:name="_Toc219780935"/>
      <w:bookmarkStart w:id="39" w:name="_Toc280352496"/>
    </w:p>
    <w:p w:rsidR="002D2845" w:rsidRPr="003D4F7F" w:rsidRDefault="002D2845" w:rsidP="002D2845">
      <w:pPr>
        <w:spacing w:before="120" w:after="120"/>
        <w:jc w:val="both"/>
        <w:rPr>
          <w:rFonts w:asciiTheme="minorHAnsi" w:hAnsiTheme="minorHAnsi" w:cs="Arial"/>
          <w:b/>
          <w:bCs/>
        </w:rPr>
      </w:pPr>
    </w:p>
    <w:p w:rsidR="002D2845" w:rsidRPr="003D4F7F" w:rsidRDefault="002D2845" w:rsidP="002D2845">
      <w:pPr>
        <w:pStyle w:val="Subttulo"/>
        <w:spacing w:before="120" w:after="120"/>
        <w:jc w:val="left"/>
        <w:outlineLvl w:val="9"/>
        <w:rPr>
          <w:rFonts w:asciiTheme="minorHAnsi" w:hAnsiTheme="minorHAnsi" w:cs="Arial"/>
          <w:b/>
        </w:rPr>
      </w:pPr>
      <w:r w:rsidRPr="003D4F7F">
        <w:rPr>
          <w:rFonts w:asciiTheme="minorHAnsi" w:hAnsiTheme="minorHAnsi" w:cs="Arial"/>
          <w:b/>
        </w:rPr>
        <w:t>13.3. RISCO DE LIQUIDEZ</w:t>
      </w:r>
      <w:bookmarkEnd w:id="38"/>
      <w:bookmarkEnd w:id="39"/>
    </w:p>
    <w:p w:rsidR="002D2845" w:rsidRPr="003D4F7F" w:rsidRDefault="002D2845" w:rsidP="002D2845">
      <w:pPr>
        <w:spacing w:before="120" w:after="120"/>
        <w:jc w:val="both"/>
        <w:rPr>
          <w:rFonts w:asciiTheme="minorHAnsi" w:hAnsiTheme="minorHAnsi" w:cs="Arial"/>
          <w:b/>
          <w:bCs/>
        </w:rPr>
      </w:pPr>
      <w:r w:rsidRPr="003D4F7F">
        <w:rPr>
          <w:rFonts w:asciiTheme="minorHAnsi" w:hAnsiTheme="minorHAnsi" w:cs="Arial"/>
        </w:rPr>
        <w:t>É o risco associado à existência de compradores e vendedores de determinado ativo ao longo do tempo. Em mercados de baixa liquidez, para que haja a possibilidade de negociação de determinado ativo pode ser necessário abrir mão do preço pretendido.</w:t>
      </w:r>
    </w:p>
    <w:p w:rsidR="002D2845" w:rsidRPr="00A252CB" w:rsidRDefault="002D2845" w:rsidP="002D2845">
      <w:pPr>
        <w:spacing w:before="120" w:after="120"/>
        <w:jc w:val="both"/>
        <w:rPr>
          <w:rFonts w:asciiTheme="minorHAnsi" w:hAnsiTheme="minorHAnsi" w:cs="Arial"/>
        </w:rPr>
      </w:pPr>
      <w:r w:rsidRPr="003D4F7F">
        <w:rPr>
          <w:rFonts w:asciiTheme="minorHAnsi" w:hAnsiTheme="minorHAnsi" w:cs="Arial"/>
        </w:rPr>
        <w:t xml:space="preserve">Para mitigar este risco, </w:t>
      </w:r>
      <w:proofErr w:type="spellStart"/>
      <w:proofErr w:type="gramStart"/>
      <w:r w:rsidRPr="003D4F7F">
        <w:rPr>
          <w:rFonts w:asciiTheme="minorHAnsi" w:hAnsiTheme="minorHAnsi" w:cs="Arial"/>
        </w:rPr>
        <w:t>oColombo</w:t>
      </w:r>
      <w:proofErr w:type="spellEnd"/>
      <w:proofErr w:type="gramEnd"/>
      <w:r w:rsidRPr="003D4F7F">
        <w:rPr>
          <w:rFonts w:asciiTheme="minorHAnsi" w:hAnsiTheme="minorHAnsi" w:cs="Arial"/>
        </w:rPr>
        <w:t xml:space="preserve"> </w:t>
      </w:r>
      <w:proofErr w:type="spellStart"/>
      <w:r w:rsidRPr="003D4F7F">
        <w:rPr>
          <w:rFonts w:asciiTheme="minorHAnsi" w:hAnsiTheme="minorHAnsi" w:cs="Arial"/>
        </w:rPr>
        <w:t>Previdênciamantém</w:t>
      </w:r>
      <w:proofErr w:type="spellEnd"/>
      <w:r w:rsidRPr="003D4F7F">
        <w:rPr>
          <w:rFonts w:asciiTheme="minorHAnsi" w:hAnsiTheme="minorHAnsi" w:cs="Arial"/>
        </w:rPr>
        <w:t xml:space="preserve"> percentual</w:t>
      </w:r>
      <w:r w:rsidRPr="00A252CB">
        <w:rPr>
          <w:rFonts w:asciiTheme="minorHAnsi" w:hAnsiTheme="minorHAnsi" w:cs="Arial"/>
        </w:rPr>
        <w:t xml:space="preserve"> adequado de seus recursos financeiros em ativos de liquidez imediata, tendo em vista os seus compromissos no curto e médio prazo.</w:t>
      </w:r>
      <w:bookmarkStart w:id="40" w:name="_Toc280352498"/>
      <w:bookmarkStart w:id="41" w:name="_Toc219780936"/>
    </w:p>
    <w:p w:rsidR="002D2845" w:rsidRPr="00A252CB" w:rsidRDefault="002D2845" w:rsidP="002D2845">
      <w:pPr>
        <w:pStyle w:val="Ttulo"/>
        <w:numPr>
          <w:ilvl w:val="0"/>
          <w:numId w:val="18"/>
        </w:numPr>
        <w:spacing w:before="120" w:after="120"/>
        <w:jc w:val="left"/>
        <w:rPr>
          <w:rFonts w:asciiTheme="minorHAnsi" w:hAnsiTheme="minorHAnsi" w:cs="Arial"/>
          <w:sz w:val="24"/>
          <w:szCs w:val="24"/>
        </w:rPr>
      </w:pPr>
      <w:bookmarkStart w:id="42" w:name="_Toc404173784"/>
      <w:r w:rsidRPr="00A252CB">
        <w:rPr>
          <w:rFonts w:asciiTheme="minorHAnsi" w:hAnsiTheme="minorHAnsi" w:cs="Arial"/>
          <w:sz w:val="24"/>
          <w:szCs w:val="24"/>
        </w:rPr>
        <w:lastRenderedPageBreak/>
        <w:t>CENÁRIO ECONÔMICO PARA O EXERCÍCIO DE 2014</w:t>
      </w:r>
      <w:bookmarkEnd w:id="42"/>
    </w:p>
    <w:p w:rsidR="002D2845" w:rsidRPr="006925C8" w:rsidRDefault="002D2845" w:rsidP="002D2845">
      <w:pPr>
        <w:spacing w:before="120" w:after="120"/>
        <w:jc w:val="center"/>
        <w:rPr>
          <w:rFonts w:asciiTheme="minorHAnsi" w:hAnsiTheme="minorHAnsi" w:cs="Arial"/>
        </w:rPr>
      </w:pPr>
      <w:bookmarkStart w:id="43" w:name="_Toc280352499"/>
      <w:bookmarkEnd w:id="40"/>
      <w:r w:rsidRPr="006925C8">
        <w:rPr>
          <w:rFonts w:asciiTheme="minorHAnsi" w:hAnsiTheme="minorHAnsi" w:cs="Arial"/>
        </w:rPr>
        <w:t>EXPECTATIVAS DE MERCADO</w:t>
      </w:r>
    </w:p>
    <w:p w:rsidR="002D2845" w:rsidRPr="006925C8" w:rsidRDefault="002D2845" w:rsidP="002D2845">
      <w:pPr>
        <w:spacing w:before="120" w:after="120"/>
        <w:jc w:val="center"/>
        <w:rPr>
          <w:rFonts w:asciiTheme="minorHAnsi" w:hAnsiTheme="minorHAnsi" w:cs="Arial"/>
        </w:rPr>
      </w:pPr>
      <w:r w:rsidRPr="006925C8">
        <w:rPr>
          <w:rFonts w:asciiTheme="minorHAnsi" w:hAnsiTheme="minorHAnsi"/>
          <w:noProof/>
          <w:lang w:eastAsia="pt-BR"/>
        </w:rPr>
        <w:drawing>
          <wp:inline distT="0" distB="0" distL="0" distR="0">
            <wp:extent cx="3971925" cy="1838325"/>
            <wp:effectExtent l="0" t="0" r="9525" b="9525"/>
            <wp:docPr id="11"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71925" cy="1838325"/>
                    </a:xfrm>
                    <a:prstGeom prst="rect">
                      <a:avLst/>
                    </a:prstGeom>
                    <a:noFill/>
                    <a:ln>
                      <a:noFill/>
                    </a:ln>
                  </pic:spPr>
                </pic:pic>
              </a:graphicData>
            </a:graphic>
          </wp:inline>
        </w:drawing>
      </w:r>
    </w:p>
    <w:p w:rsidR="002D2845" w:rsidRPr="006925C8" w:rsidRDefault="002D2845" w:rsidP="002D2845">
      <w:pPr>
        <w:spacing w:before="120" w:after="120"/>
        <w:jc w:val="center"/>
        <w:rPr>
          <w:rFonts w:asciiTheme="minorHAnsi" w:hAnsiTheme="minorHAnsi" w:cs="Arial"/>
          <w:sz w:val="18"/>
          <w:szCs w:val="18"/>
        </w:rPr>
      </w:pPr>
      <w:r w:rsidRPr="006925C8">
        <w:rPr>
          <w:rFonts w:asciiTheme="minorHAnsi" w:hAnsiTheme="minorHAnsi" w:cs="Arial"/>
          <w:sz w:val="18"/>
          <w:szCs w:val="18"/>
        </w:rPr>
        <w:t xml:space="preserve">Fonte: Relatório </w:t>
      </w:r>
      <w:proofErr w:type="spellStart"/>
      <w:r w:rsidRPr="006925C8">
        <w:rPr>
          <w:rFonts w:asciiTheme="minorHAnsi" w:hAnsiTheme="minorHAnsi" w:cs="Arial"/>
          <w:sz w:val="18"/>
          <w:szCs w:val="18"/>
        </w:rPr>
        <w:t>Focus</w:t>
      </w:r>
      <w:proofErr w:type="spellEnd"/>
      <w:r w:rsidRPr="006925C8">
        <w:rPr>
          <w:rFonts w:asciiTheme="minorHAnsi" w:hAnsiTheme="minorHAnsi" w:cs="Arial"/>
          <w:sz w:val="18"/>
          <w:szCs w:val="18"/>
        </w:rPr>
        <w:t xml:space="preserve"> (07/11/2014), Banco Central</w:t>
      </w:r>
    </w:p>
    <w:p w:rsidR="002D2845" w:rsidRPr="006925C8" w:rsidRDefault="002D2845" w:rsidP="002D2845">
      <w:pPr>
        <w:spacing w:before="120" w:after="120"/>
        <w:jc w:val="both"/>
        <w:rPr>
          <w:rFonts w:asciiTheme="minorHAnsi" w:hAnsiTheme="minorHAnsi" w:cs="Arial"/>
        </w:rPr>
      </w:pPr>
    </w:p>
    <w:p w:rsidR="002D2845" w:rsidRPr="00A252CB" w:rsidRDefault="002D2845" w:rsidP="002D2845">
      <w:pPr>
        <w:pStyle w:val="Ttulo"/>
        <w:numPr>
          <w:ilvl w:val="0"/>
          <w:numId w:val="18"/>
        </w:numPr>
        <w:spacing w:before="120" w:after="120"/>
        <w:jc w:val="left"/>
        <w:rPr>
          <w:rFonts w:asciiTheme="minorHAnsi" w:hAnsiTheme="minorHAnsi" w:cs="Arial"/>
          <w:sz w:val="24"/>
          <w:szCs w:val="24"/>
        </w:rPr>
      </w:pPr>
      <w:bookmarkStart w:id="44" w:name="_Toc404173785"/>
      <w:r w:rsidRPr="00A252CB">
        <w:rPr>
          <w:rFonts w:asciiTheme="minorHAnsi" w:hAnsiTheme="minorHAnsi" w:cs="Arial"/>
          <w:sz w:val="24"/>
          <w:szCs w:val="24"/>
        </w:rPr>
        <w:t>DISPOSIÇÕES GERAIS</w:t>
      </w:r>
      <w:bookmarkEnd w:id="41"/>
      <w:bookmarkEnd w:id="43"/>
      <w:bookmarkEnd w:id="44"/>
    </w:p>
    <w:p w:rsidR="002D2845" w:rsidRPr="00A252CB" w:rsidRDefault="002D2845" w:rsidP="002D2845">
      <w:pPr>
        <w:numPr>
          <w:ilvl w:val="0"/>
          <w:numId w:val="17"/>
        </w:numPr>
        <w:spacing w:before="120" w:after="120"/>
        <w:jc w:val="both"/>
        <w:rPr>
          <w:rFonts w:asciiTheme="minorHAnsi" w:hAnsiTheme="minorHAnsi" w:cs="Arial"/>
          <w:b/>
          <w:bCs/>
        </w:rPr>
      </w:pPr>
      <w:r w:rsidRPr="00A252CB">
        <w:rPr>
          <w:rFonts w:asciiTheme="minorHAnsi" w:hAnsiTheme="minorHAnsi" w:cs="Arial"/>
        </w:rPr>
        <w:t>A Política de Investimentos terá vigência por um ano, a contar da data de início do exercício a que se refere, podendo ser revisada e atualizada sempre que for necessário;</w:t>
      </w:r>
    </w:p>
    <w:p w:rsidR="002D2845" w:rsidRPr="00A252CB" w:rsidRDefault="002D2845" w:rsidP="002D2845">
      <w:pPr>
        <w:numPr>
          <w:ilvl w:val="0"/>
          <w:numId w:val="17"/>
        </w:numPr>
        <w:spacing w:before="120" w:after="120"/>
        <w:jc w:val="both"/>
        <w:rPr>
          <w:rFonts w:asciiTheme="minorHAnsi" w:hAnsiTheme="minorHAnsi" w:cs="Arial"/>
          <w:b/>
          <w:bCs/>
        </w:rPr>
      </w:pPr>
      <w:r w:rsidRPr="00A252CB">
        <w:rPr>
          <w:rFonts w:asciiTheme="minorHAnsi" w:hAnsiTheme="minorHAnsi" w:cs="Arial"/>
        </w:rPr>
        <w:t>A Política de Investimentos e suas eventuais revisões serão disponibilizadas para a consulta dos interessados, no prazo máximo de 30 dias a contar da data de sua aprovação;</w:t>
      </w:r>
    </w:p>
    <w:p w:rsidR="002D2845" w:rsidRPr="003D4F7F" w:rsidRDefault="002D2845" w:rsidP="002D2845">
      <w:pPr>
        <w:numPr>
          <w:ilvl w:val="0"/>
          <w:numId w:val="17"/>
        </w:numPr>
        <w:spacing w:before="120" w:after="120"/>
        <w:jc w:val="both"/>
        <w:rPr>
          <w:rFonts w:asciiTheme="minorHAnsi" w:hAnsiTheme="minorHAnsi" w:cs="Arial"/>
        </w:rPr>
      </w:pPr>
      <w:r w:rsidRPr="00A252CB">
        <w:rPr>
          <w:rFonts w:asciiTheme="minorHAnsi" w:hAnsiTheme="minorHAnsi" w:cs="Arial"/>
        </w:rPr>
        <w:t xml:space="preserve">Reuniões extraordinárias serão realizadas, sempre que as condições vigentes no mercado financeiro e de </w:t>
      </w:r>
      <w:proofErr w:type="spellStart"/>
      <w:r w:rsidRPr="00A252CB">
        <w:rPr>
          <w:rFonts w:asciiTheme="minorHAnsi" w:hAnsiTheme="minorHAnsi" w:cs="Arial"/>
        </w:rPr>
        <w:t>capitaisou</w:t>
      </w:r>
      <w:proofErr w:type="spellEnd"/>
      <w:r w:rsidRPr="00A252CB">
        <w:rPr>
          <w:rFonts w:asciiTheme="minorHAnsi" w:hAnsiTheme="minorHAnsi" w:cs="Arial"/>
        </w:rPr>
        <w:t xml:space="preserve"> </w:t>
      </w:r>
      <w:r w:rsidRPr="003D4F7F">
        <w:rPr>
          <w:rFonts w:asciiTheme="minorHAnsi" w:hAnsiTheme="minorHAnsi" w:cs="Arial"/>
        </w:rPr>
        <w:t xml:space="preserve">mudanças no arcabouço legal impuserem alterações na Política de Investimentos do Colombo Previdência; </w:t>
      </w:r>
    </w:p>
    <w:p w:rsidR="002D2845" w:rsidRDefault="002D2845" w:rsidP="002D2845">
      <w:pPr>
        <w:spacing w:before="120" w:after="120"/>
        <w:jc w:val="both"/>
        <w:rPr>
          <w:rFonts w:asciiTheme="minorHAnsi" w:hAnsiTheme="minorHAnsi" w:cs="Arial"/>
        </w:rPr>
      </w:pPr>
    </w:p>
    <w:p w:rsidR="007A4697" w:rsidRDefault="007A4697" w:rsidP="002D2845">
      <w:pPr>
        <w:spacing w:before="120" w:after="120"/>
        <w:jc w:val="both"/>
        <w:rPr>
          <w:rFonts w:asciiTheme="minorHAnsi" w:hAnsiTheme="minorHAnsi" w:cs="Arial"/>
        </w:rPr>
      </w:pPr>
    </w:p>
    <w:p w:rsidR="007A4697" w:rsidRDefault="007A4697" w:rsidP="002D2845">
      <w:pPr>
        <w:spacing w:before="120" w:after="120"/>
        <w:jc w:val="both"/>
        <w:rPr>
          <w:rFonts w:asciiTheme="minorHAnsi" w:hAnsiTheme="minorHAnsi" w:cs="Arial"/>
        </w:rPr>
      </w:pPr>
    </w:p>
    <w:p w:rsidR="007A4697" w:rsidRDefault="007A4697" w:rsidP="002D2845">
      <w:pPr>
        <w:spacing w:before="120" w:after="120"/>
        <w:jc w:val="both"/>
        <w:rPr>
          <w:rFonts w:asciiTheme="minorHAnsi" w:hAnsiTheme="minorHAnsi" w:cs="Arial"/>
        </w:rPr>
      </w:pPr>
    </w:p>
    <w:p w:rsidR="007A4697" w:rsidRDefault="007A4697" w:rsidP="002D2845">
      <w:pPr>
        <w:spacing w:before="120" w:after="120"/>
        <w:jc w:val="both"/>
        <w:rPr>
          <w:rFonts w:asciiTheme="minorHAnsi" w:hAnsiTheme="minorHAnsi" w:cs="Arial"/>
        </w:rPr>
      </w:pPr>
    </w:p>
    <w:p w:rsidR="007A4697" w:rsidRDefault="007A4697" w:rsidP="002D2845">
      <w:pPr>
        <w:spacing w:before="120" w:after="120"/>
        <w:jc w:val="both"/>
        <w:rPr>
          <w:rFonts w:asciiTheme="minorHAnsi" w:hAnsiTheme="minorHAnsi" w:cs="Arial"/>
        </w:rPr>
      </w:pPr>
    </w:p>
    <w:p w:rsidR="007A4697" w:rsidRDefault="007A4697" w:rsidP="002D2845">
      <w:pPr>
        <w:spacing w:before="120" w:after="120"/>
        <w:jc w:val="both"/>
        <w:rPr>
          <w:rFonts w:asciiTheme="minorHAnsi" w:hAnsiTheme="minorHAnsi" w:cs="Arial"/>
        </w:rPr>
      </w:pPr>
    </w:p>
    <w:p w:rsidR="007A4697" w:rsidRDefault="007A4697" w:rsidP="002D2845">
      <w:pPr>
        <w:spacing w:before="120" w:after="120"/>
        <w:jc w:val="both"/>
        <w:rPr>
          <w:rFonts w:asciiTheme="minorHAnsi" w:hAnsiTheme="minorHAnsi" w:cs="Arial"/>
        </w:rPr>
      </w:pPr>
    </w:p>
    <w:p w:rsidR="007A4697" w:rsidRDefault="007A4697" w:rsidP="002D2845">
      <w:pPr>
        <w:spacing w:before="120" w:after="120"/>
        <w:jc w:val="both"/>
        <w:rPr>
          <w:rFonts w:asciiTheme="minorHAnsi" w:hAnsiTheme="minorHAnsi" w:cs="Arial"/>
        </w:rPr>
      </w:pPr>
    </w:p>
    <w:p w:rsidR="007A4697" w:rsidRDefault="007A4697" w:rsidP="002D2845">
      <w:pPr>
        <w:spacing w:before="120" w:after="120"/>
        <w:jc w:val="both"/>
        <w:rPr>
          <w:rFonts w:asciiTheme="minorHAnsi" w:hAnsiTheme="minorHAnsi" w:cs="Arial"/>
        </w:rPr>
      </w:pPr>
    </w:p>
    <w:p w:rsidR="007A4697" w:rsidRDefault="007A4697" w:rsidP="002D2845">
      <w:pPr>
        <w:spacing w:before="120" w:after="120"/>
        <w:jc w:val="both"/>
        <w:rPr>
          <w:rFonts w:asciiTheme="minorHAnsi" w:hAnsiTheme="minorHAnsi" w:cs="Arial"/>
        </w:rPr>
      </w:pPr>
    </w:p>
    <w:p w:rsidR="007A4697" w:rsidRDefault="007A4697" w:rsidP="002D2845">
      <w:pPr>
        <w:spacing w:before="120" w:after="120"/>
        <w:jc w:val="both"/>
        <w:rPr>
          <w:rFonts w:asciiTheme="minorHAnsi" w:hAnsiTheme="minorHAnsi" w:cs="Arial"/>
        </w:rPr>
      </w:pPr>
    </w:p>
    <w:p w:rsidR="007A4697" w:rsidRDefault="007A4697" w:rsidP="002D2845">
      <w:pPr>
        <w:spacing w:before="120" w:after="120"/>
        <w:jc w:val="both"/>
        <w:rPr>
          <w:rFonts w:asciiTheme="minorHAnsi" w:hAnsiTheme="minorHAnsi" w:cs="Arial"/>
        </w:rPr>
      </w:pPr>
    </w:p>
    <w:p w:rsidR="007A4697" w:rsidRPr="00A252CB" w:rsidRDefault="007A4697" w:rsidP="002D2845">
      <w:pPr>
        <w:spacing w:before="120" w:after="120"/>
        <w:jc w:val="both"/>
        <w:rPr>
          <w:rFonts w:asciiTheme="minorHAnsi" w:hAnsiTheme="minorHAnsi" w:cs="Arial"/>
        </w:rPr>
      </w:pPr>
    </w:p>
    <w:p w:rsidR="002D2845" w:rsidRPr="00A252CB" w:rsidRDefault="002D2845" w:rsidP="002D2845">
      <w:pPr>
        <w:pStyle w:val="Ttulo"/>
        <w:numPr>
          <w:ilvl w:val="0"/>
          <w:numId w:val="18"/>
        </w:numPr>
        <w:spacing w:before="120" w:after="120"/>
        <w:jc w:val="left"/>
        <w:rPr>
          <w:rFonts w:asciiTheme="minorHAnsi" w:hAnsiTheme="minorHAnsi" w:cs="Arial"/>
          <w:sz w:val="24"/>
          <w:szCs w:val="24"/>
        </w:rPr>
      </w:pPr>
      <w:bookmarkStart w:id="45" w:name="_Toc404173786"/>
      <w:r w:rsidRPr="00A252CB">
        <w:rPr>
          <w:rFonts w:asciiTheme="minorHAnsi" w:hAnsiTheme="minorHAnsi" w:cs="Arial"/>
          <w:sz w:val="24"/>
          <w:szCs w:val="24"/>
        </w:rPr>
        <w:lastRenderedPageBreak/>
        <w:t>APROVAÇÃO DA POLÍTICA DE INVESTIMENTOS EXERCÍCIO DE 2015</w:t>
      </w:r>
      <w:bookmarkEnd w:id="45"/>
    </w:p>
    <w:p w:rsidR="002D2845" w:rsidRDefault="002D2845" w:rsidP="002D2845">
      <w:pPr>
        <w:spacing w:before="120" w:after="120"/>
        <w:jc w:val="both"/>
        <w:rPr>
          <w:rFonts w:asciiTheme="minorHAnsi" w:hAnsiTheme="minorHAnsi" w:cs="Arial"/>
        </w:rPr>
      </w:pPr>
      <w:r w:rsidRPr="00A252CB">
        <w:rPr>
          <w:rFonts w:asciiTheme="minorHAnsi" w:hAnsiTheme="minorHAnsi" w:cs="Arial"/>
        </w:rPr>
        <w:t xml:space="preserve">Esta Política de Investimentos, com vigência para o exercício de 2015, foi aprovada </w:t>
      </w:r>
      <w:r w:rsidRPr="00A252CB">
        <w:rPr>
          <w:rFonts w:asciiTheme="minorHAnsi" w:hAnsiTheme="minorHAnsi" w:cs="Arial"/>
          <w:highlight w:val="yellow"/>
        </w:rPr>
        <w:t>(ÓRGÃOS DE DELIBERAÇÃO)</w:t>
      </w:r>
      <w:r w:rsidRPr="00A252CB">
        <w:rPr>
          <w:rFonts w:asciiTheme="minorHAnsi" w:hAnsiTheme="minorHAnsi" w:cs="Arial"/>
        </w:rPr>
        <w:t xml:space="preserve">, na data de </w:t>
      </w:r>
      <w:r w:rsidRPr="00A252CB">
        <w:rPr>
          <w:rFonts w:asciiTheme="minorHAnsi" w:hAnsiTheme="minorHAnsi" w:cs="Arial"/>
          <w:highlight w:val="yellow"/>
        </w:rPr>
        <w:t>(DATA/MÊS/ANO)</w:t>
      </w:r>
      <w:r w:rsidRPr="00A252CB">
        <w:rPr>
          <w:rFonts w:asciiTheme="minorHAnsi" w:hAnsiTheme="minorHAnsi" w:cs="Arial"/>
        </w:rPr>
        <w:t>.</w:t>
      </w:r>
    </w:p>
    <w:p w:rsidR="002D2845" w:rsidRPr="00A252CB" w:rsidRDefault="002D2845" w:rsidP="002D2845">
      <w:pPr>
        <w:spacing w:before="120" w:after="120"/>
        <w:jc w:val="both"/>
        <w:rPr>
          <w:rFonts w:asciiTheme="minorHAnsi" w:hAnsiTheme="minorHAnsi" w:cs="Arial"/>
          <w:b/>
        </w:rPr>
      </w:pPr>
    </w:p>
    <w:p w:rsidR="002D2845" w:rsidRPr="00A252CB" w:rsidRDefault="002D2845" w:rsidP="002D2845">
      <w:pPr>
        <w:spacing w:before="120" w:after="120"/>
        <w:ind w:firstLine="709"/>
        <w:jc w:val="right"/>
        <w:rPr>
          <w:rFonts w:asciiTheme="minorHAnsi" w:hAnsiTheme="minorHAnsi" w:cs="Arial"/>
        </w:rPr>
      </w:pPr>
      <w:r w:rsidRPr="003D4F7F">
        <w:rPr>
          <w:rFonts w:asciiTheme="minorHAnsi" w:hAnsiTheme="minorHAnsi" w:cs="Arial"/>
        </w:rPr>
        <w:t>Colombo/PR, _____</w:t>
      </w:r>
      <w:r w:rsidRPr="00A252CB">
        <w:rPr>
          <w:rFonts w:asciiTheme="minorHAnsi" w:hAnsiTheme="minorHAnsi" w:cs="Arial"/>
        </w:rPr>
        <w:t xml:space="preserve"> de </w:t>
      </w:r>
      <w:r w:rsidRPr="00A252CB">
        <w:rPr>
          <w:rFonts w:asciiTheme="minorHAnsi" w:hAnsiTheme="minorHAnsi" w:cs="Arial"/>
          <w:highlight w:val="yellow"/>
        </w:rPr>
        <w:t>(mês</w:t>
      </w:r>
      <w:proofErr w:type="gramStart"/>
      <w:r w:rsidRPr="00A252CB">
        <w:rPr>
          <w:rFonts w:asciiTheme="minorHAnsi" w:hAnsiTheme="minorHAnsi" w:cs="Arial"/>
          <w:highlight w:val="yellow"/>
        </w:rPr>
        <w:t>)</w:t>
      </w:r>
      <w:r w:rsidRPr="00A252CB">
        <w:rPr>
          <w:rFonts w:asciiTheme="minorHAnsi" w:hAnsiTheme="minorHAnsi" w:cs="Arial"/>
        </w:rPr>
        <w:t>de</w:t>
      </w:r>
      <w:proofErr w:type="gramEnd"/>
      <w:r w:rsidRPr="00A252CB">
        <w:rPr>
          <w:rFonts w:asciiTheme="minorHAnsi" w:hAnsiTheme="minorHAnsi" w:cs="Arial"/>
        </w:rPr>
        <w:t xml:space="preserve"> 2014.</w:t>
      </w:r>
    </w:p>
    <w:tbl>
      <w:tblPr>
        <w:tblW w:w="9182" w:type="dxa"/>
        <w:tblBorders>
          <w:insideH w:val="single" w:sz="4" w:space="0" w:color="auto"/>
          <w:insideV w:val="single" w:sz="4" w:space="0" w:color="auto"/>
        </w:tblBorders>
        <w:tblLook w:val="04A0"/>
      </w:tblPr>
      <w:tblGrid>
        <w:gridCol w:w="4503"/>
        <w:gridCol w:w="426"/>
        <w:gridCol w:w="4253"/>
      </w:tblGrid>
      <w:tr w:rsidR="002D2845" w:rsidRPr="00A252CB" w:rsidTr="007A4697">
        <w:trPr>
          <w:trHeight w:val="1191"/>
        </w:trPr>
        <w:tc>
          <w:tcPr>
            <w:tcW w:w="4503" w:type="dxa"/>
            <w:tcBorders>
              <w:right w:val="nil"/>
            </w:tcBorders>
            <w:shd w:val="clear" w:color="auto" w:fill="auto"/>
          </w:tcPr>
          <w:p w:rsidR="002D2845" w:rsidRPr="00A252CB" w:rsidRDefault="002D2845" w:rsidP="007A4697">
            <w:pPr>
              <w:spacing w:before="120" w:after="120"/>
              <w:jc w:val="center"/>
              <w:rPr>
                <w:rFonts w:asciiTheme="minorHAnsi" w:hAnsiTheme="minorHAnsi" w:cs="Arial"/>
                <w:sz w:val="18"/>
              </w:rPr>
            </w:pPr>
          </w:p>
        </w:tc>
        <w:tc>
          <w:tcPr>
            <w:tcW w:w="426" w:type="dxa"/>
            <w:tcBorders>
              <w:top w:val="nil"/>
              <w:left w:val="nil"/>
              <w:bottom w:val="nil"/>
              <w:right w:val="nil"/>
            </w:tcBorders>
            <w:shd w:val="clear" w:color="auto" w:fill="auto"/>
          </w:tcPr>
          <w:p w:rsidR="002D2845" w:rsidRPr="00A252CB" w:rsidRDefault="002D2845" w:rsidP="007A4697">
            <w:pPr>
              <w:spacing w:before="120" w:after="120"/>
              <w:jc w:val="center"/>
              <w:rPr>
                <w:rFonts w:asciiTheme="minorHAnsi" w:hAnsiTheme="minorHAnsi" w:cs="Arial"/>
                <w:sz w:val="18"/>
              </w:rPr>
            </w:pPr>
          </w:p>
        </w:tc>
        <w:tc>
          <w:tcPr>
            <w:tcW w:w="4253" w:type="dxa"/>
            <w:tcBorders>
              <w:left w:val="nil"/>
            </w:tcBorders>
            <w:shd w:val="clear" w:color="auto" w:fill="auto"/>
          </w:tcPr>
          <w:p w:rsidR="002D2845" w:rsidRPr="00A252CB" w:rsidRDefault="002D2845" w:rsidP="007A4697">
            <w:pPr>
              <w:spacing w:before="120" w:after="120"/>
              <w:jc w:val="center"/>
              <w:rPr>
                <w:rFonts w:asciiTheme="minorHAnsi" w:hAnsiTheme="minorHAnsi" w:cs="Arial"/>
                <w:sz w:val="18"/>
              </w:rPr>
            </w:pPr>
          </w:p>
        </w:tc>
      </w:tr>
      <w:tr w:rsidR="002D2845" w:rsidRPr="00A252CB" w:rsidTr="007A4697">
        <w:trPr>
          <w:trHeight w:val="1191"/>
        </w:trPr>
        <w:tc>
          <w:tcPr>
            <w:tcW w:w="4503" w:type="dxa"/>
            <w:tcBorders>
              <w:right w:val="nil"/>
            </w:tcBorders>
            <w:shd w:val="clear" w:color="auto" w:fill="auto"/>
          </w:tcPr>
          <w:p w:rsidR="002D2845" w:rsidRPr="00A252CB" w:rsidRDefault="002D2845" w:rsidP="007A4697">
            <w:pPr>
              <w:spacing w:before="120" w:after="120"/>
              <w:jc w:val="center"/>
              <w:rPr>
                <w:rFonts w:asciiTheme="minorHAnsi" w:hAnsiTheme="minorHAnsi" w:cs="Arial"/>
                <w:sz w:val="18"/>
              </w:rPr>
            </w:pPr>
            <w:r w:rsidRPr="00A252CB">
              <w:rPr>
                <w:rFonts w:asciiTheme="minorHAnsi" w:hAnsiTheme="minorHAnsi" w:cs="Arial"/>
                <w:sz w:val="18"/>
                <w:highlight w:val="yellow"/>
              </w:rPr>
              <w:t>(Nome Completo e Cargo</w:t>
            </w:r>
            <w:r w:rsidRPr="00A252CB">
              <w:rPr>
                <w:rFonts w:asciiTheme="minorHAnsi" w:hAnsiTheme="minorHAnsi" w:cs="Arial"/>
                <w:sz w:val="18"/>
              </w:rPr>
              <w:t>)</w:t>
            </w:r>
          </w:p>
        </w:tc>
        <w:tc>
          <w:tcPr>
            <w:tcW w:w="426" w:type="dxa"/>
            <w:tcBorders>
              <w:top w:val="nil"/>
              <w:left w:val="nil"/>
              <w:bottom w:val="nil"/>
              <w:right w:val="nil"/>
            </w:tcBorders>
            <w:shd w:val="clear" w:color="auto" w:fill="auto"/>
          </w:tcPr>
          <w:p w:rsidR="002D2845" w:rsidRPr="00A252CB" w:rsidRDefault="002D2845" w:rsidP="007A4697">
            <w:pPr>
              <w:spacing w:before="120" w:after="120"/>
              <w:jc w:val="center"/>
              <w:rPr>
                <w:rFonts w:asciiTheme="minorHAnsi" w:hAnsiTheme="minorHAnsi" w:cs="Arial"/>
                <w:sz w:val="18"/>
                <w:highlight w:val="yellow"/>
              </w:rPr>
            </w:pPr>
          </w:p>
        </w:tc>
        <w:tc>
          <w:tcPr>
            <w:tcW w:w="4253" w:type="dxa"/>
            <w:tcBorders>
              <w:left w:val="nil"/>
            </w:tcBorders>
            <w:shd w:val="clear" w:color="auto" w:fill="auto"/>
          </w:tcPr>
          <w:p w:rsidR="002D2845" w:rsidRPr="00A252CB" w:rsidRDefault="002D2845" w:rsidP="007A4697">
            <w:pPr>
              <w:spacing w:before="120" w:after="120"/>
              <w:jc w:val="center"/>
              <w:rPr>
                <w:rFonts w:asciiTheme="minorHAnsi" w:hAnsiTheme="minorHAnsi" w:cs="Arial"/>
                <w:sz w:val="18"/>
              </w:rPr>
            </w:pPr>
            <w:r w:rsidRPr="00A252CB">
              <w:rPr>
                <w:rFonts w:asciiTheme="minorHAnsi" w:hAnsiTheme="minorHAnsi" w:cs="Arial"/>
                <w:sz w:val="18"/>
                <w:highlight w:val="yellow"/>
              </w:rPr>
              <w:t>(Nome Completo e Cargo</w:t>
            </w:r>
            <w:r w:rsidRPr="00A252CB">
              <w:rPr>
                <w:rFonts w:asciiTheme="minorHAnsi" w:hAnsiTheme="minorHAnsi" w:cs="Arial"/>
                <w:sz w:val="18"/>
              </w:rPr>
              <w:t>)</w:t>
            </w:r>
          </w:p>
        </w:tc>
      </w:tr>
      <w:tr w:rsidR="002D2845" w:rsidRPr="00A252CB" w:rsidTr="007A4697">
        <w:trPr>
          <w:trHeight w:val="1191"/>
        </w:trPr>
        <w:tc>
          <w:tcPr>
            <w:tcW w:w="4503" w:type="dxa"/>
            <w:tcBorders>
              <w:right w:val="nil"/>
            </w:tcBorders>
            <w:shd w:val="clear" w:color="auto" w:fill="auto"/>
          </w:tcPr>
          <w:p w:rsidR="002D2845" w:rsidRPr="00A252CB" w:rsidRDefault="002D2845" w:rsidP="007A4697">
            <w:pPr>
              <w:spacing w:before="120" w:after="120"/>
              <w:jc w:val="center"/>
              <w:rPr>
                <w:rFonts w:asciiTheme="minorHAnsi" w:hAnsiTheme="minorHAnsi" w:cs="Arial"/>
                <w:sz w:val="18"/>
              </w:rPr>
            </w:pPr>
            <w:r w:rsidRPr="00A252CB">
              <w:rPr>
                <w:rFonts w:asciiTheme="minorHAnsi" w:hAnsiTheme="minorHAnsi" w:cs="Arial"/>
                <w:sz w:val="18"/>
                <w:highlight w:val="yellow"/>
              </w:rPr>
              <w:t>(Nome Completo e Cargo</w:t>
            </w:r>
            <w:r w:rsidRPr="00A252CB">
              <w:rPr>
                <w:rFonts w:asciiTheme="minorHAnsi" w:hAnsiTheme="minorHAnsi" w:cs="Arial"/>
                <w:sz w:val="18"/>
              </w:rPr>
              <w:t>)</w:t>
            </w:r>
          </w:p>
        </w:tc>
        <w:tc>
          <w:tcPr>
            <w:tcW w:w="426" w:type="dxa"/>
            <w:tcBorders>
              <w:top w:val="nil"/>
              <w:left w:val="nil"/>
              <w:bottom w:val="nil"/>
              <w:right w:val="nil"/>
            </w:tcBorders>
            <w:shd w:val="clear" w:color="auto" w:fill="auto"/>
          </w:tcPr>
          <w:p w:rsidR="002D2845" w:rsidRPr="00A252CB" w:rsidRDefault="002D2845" w:rsidP="007A4697">
            <w:pPr>
              <w:spacing w:before="120" w:after="120"/>
              <w:jc w:val="center"/>
              <w:rPr>
                <w:rFonts w:asciiTheme="minorHAnsi" w:hAnsiTheme="minorHAnsi" w:cs="Arial"/>
                <w:sz w:val="18"/>
                <w:highlight w:val="yellow"/>
              </w:rPr>
            </w:pPr>
          </w:p>
        </w:tc>
        <w:tc>
          <w:tcPr>
            <w:tcW w:w="4253" w:type="dxa"/>
            <w:tcBorders>
              <w:left w:val="nil"/>
            </w:tcBorders>
            <w:shd w:val="clear" w:color="auto" w:fill="auto"/>
          </w:tcPr>
          <w:p w:rsidR="002D2845" w:rsidRPr="00A252CB" w:rsidRDefault="002D2845" w:rsidP="007A4697">
            <w:pPr>
              <w:spacing w:before="120" w:after="120"/>
              <w:jc w:val="center"/>
              <w:rPr>
                <w:rFonts w:asciiTheme="minorHAnsi" w:hAnsiTheme="minorHAnsi" w:cs="Arial"/>
                <w:sz w:val="18"/>
              </w:rPr>
            </w:pPr>
            <w:r w:rsidRPr="00A252CB">
              <w:rPr>
                <w:rFonts w:asciiTheme="minorHAnsi" w:hAnsiTheme="minorHAnsi" w:cs="Arial"/>
                <w:sz w:val="18"/>
                <w:highlight w:val="yellow"/>
              </w:rPr>
              <w:t>(Nome Completo e Cargo</w:t>
            </w:r>
            <w:r w:rsidRPr="00A252CB">
              <w:rPr>
                <w:rFonts w:asciiTheme="minorHAnsi" w:hAnsiTheme="minorHAnsi" w:cs="Arial"/>
                <w:sz w:val="18"/>
              </w:rPr>
              <w:t>)</w:t>
            </w:r>
          </w:p>
        </w:tc>
      </w:tr>
      <w:tr w:rsidR="002D2845" w:rsidRPr="00A252CB" w:rsidTr="007A4697">
        <w:trPr>
          <w:trHeight w:val="1191"/>
        </w:trPr>
        <w:tc>
          <w:tcPr>
            <w:tcW w:w="4503" w:type="dxa"/>
            <w:tcBorders>
              <w:right w:val="nil"/>
            </w:tcBorders>
            <w:shd w:val="clear" w:color="auto" w:fill="auto"/>
          </w:tcPr>
          <w:p w:rsidR="002D2845" w:rsidRPr="00A252CB" w:rsidRDefault="002D2845" w:rsidP="007A4697">
            <w:pPr>
              <w:spacing w:before="120" w:after="120"/>
              <w:jc w:val="center"/>
              <w:rPr>
                <w:rFonts w:asciiTheme="minorHAnsi" w:hAnsiTheme="minorHAnsi" w:cs="Arial"/>
                <w:sz w:val="18"/>
              </w:rPr>
            </w:pPr>
            <w:r w:rsidRPr="00A252CB">
              <w:rPr>
                <w:rFonts w:asciiTheme="minorHAnsi" w:hAnsiTheme="minorHAnsi" w:cs="Arial"/>
                <w:sz w:val="18"/>
                <w:highlight w:val="yellow"/>
              </w:rPr>
              <w:t>(Nome Completo e Cargo</w:t>
            </w:r>
            <w:r w:rsidRPr="00A252CB">
              <w:rPr>
                <w:rFonts w:asciiTheme="minorHAnsi" w:hAnsiTheme="minorHAnsi" w:cs="Arial"/>
                <w:sz w:val="18"/>
              </w:rPr>
              <w:t>)</w:t>
            </w:r>
          </w:p>
        </w:tc>
        <w:tc>
          <w:tcPr>
            <w:tcW w:w="426" w:type="dxa"/>
            <w:tcBorders>
              <w:top w:val="nil"/>
              <w:left w:val="nil"/>
              <w:bottom w:val="nil"/>
              <w:right w:val="nil"/>
            </w:tcBorders>
            <w:shd w:val="clear" w:color="auto" w:fill="auto"/>
          </w:tcPr>
          <w:p w:rsidR="002D2845" w:rsidRPr="00A252CB" w:rsidRDefault="002D2845" w:rsidP="007A4697">
            <w:pPr>
              <w:spacing w:before="120" w:after="120"/>
              <w:jc w:val="center"/>
              <w:rPr>
                <w:rFonts w:asciiTheme="minorHAnsi" w:hAnsiTheme="minorHAnsi" w:cs="Arial"/>
                <w:sz w:val="18"/>
                <w:highlight w:val="yellow"/>
              </w:rPr>
            </w:pPr>
          </w:p>
        </w:tc>
        <w:tc>
          <w:tcPr>
            <w:tcW w:w="4253" w:type="dxa"/>
            <w:tcBorders>
              <w:left w:val="nil"/>
            </w:tcBorders>
            <w:shd w:val="clear" w:color="auto" w:fill="auto"/>
          </w:tcPr>
          <w:p w:rsidR="002D2845" w:rsidRPr="00A252CB" w:rsidRDefault="002D2845" w:rsidP="007A4697">
            <w:pPr>
              <w:spacing w:before="120" w:after="120"/>
              <w:jc w:val="center"/>
              <w:rPr>
                <w:rFonts w:asciiTheme="minorHAnsi" w:hAnsiTheme="minorHAnsi" w:cs="Arial"/>
                <w:sz w:val="18"/>
              </w:rPr>
            </w:pPr>
            <w:r w:rsidRPr="00A252CB">
              <w:rPr>
                <w:rFonts w:asciiTheme="minorHAnsi" w:hAnsiTheme="minorHAnsi" w:cs="Arial"/>
                <w:sz w:val="18"/>
                <w:highlight w:val="yellow"/>
              </w:rPr>
              <w:t>(Nome Completo e Cargo</w:t>
            </w:r>
            <w:r w:rsidRPr="00A252CB">
              <w:rPr>
                <w:rFonts w:asciiTheme="minorHAnsi" w:hAnsiTheme="minorHAnsi" w:cs="Arial"/>
                <w:sz w:val="18"/>
              </w:rPr>
              <w:t>)</w:t>
            </w:r>
          </w:p>
        </w:tc>
      </w:tr>
    </w:tbl>
    <w:p w:rsidR="002D2845" w:rsidRDefault="002D2845" w:rsidP="002D2845">
      <w:pPr>
        <w:spacing w:before="120" w:after="120"/>
        <w:jc w:val="both"/>
        <w:rPr>
          <w:rFonts w:asciiTheme="minorHAnsi" w:hAnsiTheme="minorHAnsi" w:cs="Arial"/>
        </w:rPr>
      </w:pPr>
    </w:p>
    <w:p w:rsidR="002D2845" w:rsidRDefault="002D2845" w:rsidP="002D2845">
      <w:pPr>
        <w:rPr>
          <w:rFonts w:asciiTheme="minorHAnsi" w:hAnsiTheme="minorHAnsi" w:cs="Arial"/>
        </w:rPr>
      </w:pPr>
      <w:r>
        <w:rPr>
          <w:rFonts w:asciiTheme="minorHAnsi" w:hAnsiTheme="minorHAnsi" w:cs="Arial"/>
        </w:rPr>
        <w:br w:type="page"/>
      </w:r>
    </w:p>
    <w:p w:rsidR="002D2845" w:rsidRPr="00635DC0" w:rsidRDefault="002D2845" w:rsidP="002D2845">
      <w:pPr>
        <w:pStyle w:val="Ttulo2"/>
        <w:jc w:val="center"/>
        <w:rPr>
          <w:rFonts w:asciiTheme="minorHAnsi" w:hAnsiTheme="minorHAnsi"/>
          <w:i/>
        </w:rPr>
      </w:pPr>
      <w:bookmarkStart w:id="46" w:name="_Toc404173787"/>
      <w:r w:rsidRPr="00635DC0">
        <w:rPr>
          <w:rFonts w:asciiTheme="minorHAnsi" w:hAnsiTheme="minorHAnsi"/>
        </w:rPr>
        <w:lastRenderedPageBreak/>
        <w:t>ANEXO I</w:t>
      </w:r>
      <w:bookmarkEnd w:id="46"/>
    </w:p>
    <w:p w:rsidR="002D2845" w:rsidRPr="00CF6B2D" w:rsidRDefault="002D2845" w:rsidP="002D2845">
      <w:pPr>
        <w:spacing w:before="120" w:after="120"/>
        <w:jc w:val="center"/>
        <w:rPr>
          <w:rFonts w:asciiTheme="minorHAnsi" w:hAnsiTheme="minorHAnsi" w:cs="Arial"/>
          <w:b/>
        </w:rPr>
      </w:pPr>
      <w:r w:rsidRPr="00CF6B2D">
        <w:rPr>
          <w:rFonts w:asciiTheme="minorHAnsi" w:hAnsiTheme="minorHAnsi" w:cs="Arial"/>
          <w:b/>
        </w:rPr>
        <w:t>Alocação-Objetivo – Sugestões de Carteiras na Fronteira Eficiente</w:t>
      </w:r>
    </w:p>
    <w:p w:rsidR="002D2845" w:rsidRDefault="002D2845" w:rsidP="002D2845">
      <w:pPr>
        <w:spacing w:before="120" w:after="120"/>
        <w:jc w:val="both"/>
        <w:rPr>
          <w:rFonts w:asciiTheme="minorHAnsi" w:hAnsiTheme="minorHAnsi" w:cs="Arial"/>
        </w:rPr>
      </w:pPr>
    </w:p>
    <w:p w:rsidR="002D2845" w:rsidRDefault="002D2845" w:rsidP="002D2845">
      <w:pPr>
        <w:spacing w:before="120" w:after="120"/>
        <w:jc w:val="center"/>
        <w:rPr>
          <w:rFonts w:asciiTheme="minorHAnsi" w:hAnsiTheme="minorHAnsi" w:cs="Arial"/>
        </w:rPr>
      </w:pPr>
      <w:r w:rsidRPr="00F52481">
        <w:rPr>
          <w:noProof/>
          <w:lang w:eastAsia="pt-BR"/>
        </w:rPr>
        <w:drawing>
          <wp:inline distT="0" distB="0" distL="0" distR="0">
            <wp:extent cx="4540102" cy="3336938"/>
            <wp:effectExtent l="0" t="0" r="0" b="0"/>
            <wp:docPr id="12"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47898" cy="3342668"/>
                    </a:xfrm>
                    <a:prstGeom prst="rect">
                      <a:avLst/>
                    </a:prstGeom>
                    <a:noFill/>
                    <a:ln>
                      <a:noFill/>
                    </a:ln>
                  </pic:spPr>
                </pic:pic>
              </a:graphicData>
            </a:graphic>
          </wp:inline>
        </w:drawing>
      </w:r>
    </w:p>
    <w:p w:rsidR="002D2845" w:rsidRDefault="002D2845" w:rsidP="002D2845">
      <w:pPr>
        <w:spacing w:before="120" w:after="120"/>
        <w:jc w:val="center"/>
        <w:rPr>
          <w:rFonts w:asciiTheme="minorHAnsi" w:hAnsiTheme="minorHAnsi" w:cs="Arial"/>
        </w:rPr>
      </w:pPr>
    </w:p>
    <w:p w:rsidR="002D2845" w:rsidRPr="00A252CB" w:rsidRDefault="002D2845" w:rsidP="002D2845">
      <w:pPr>
        <w:spacing w:before="120" w:after="120"/>
        <w:jc w:val="center"/>
        <w:rPr>
          <w:rFonts w:asciiTheme="minorHAnsi" w:hAnsiTheme="minorHAnsi" w:cs="Arial"/>
        </w:rPr>
      </w:pPr>
      <w:r w:rsidRPr="00F52481">
        <w:rPr>
          <w:noProof/>
          <w:lang w:eastAsia="pt-BR"/>
        </w:rPr>
        <w:drawing>
          <wp:inline distT="0" distB="0" distL="0" distR="0">
            <wp:extent cx="4593265" cy="3376012"/>
            <wp:effectExtent l="0" t="0" r="0" b="0"/>
            <wp:docPr id="13"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97116" cy="3378842"/>
                    </a:xfrm>
                    <a:prstGeom prst="rect">
                      <a:avLst/>
                    </a:prstGeom>
                    <a:noFill/>
                    <a:ln>
                      <a:noFill/>
                    </a:ln>
                  </pic:spPr>
                </pic:pic>
              </a:graphicData>
            </a:graphic>
          </wp:inline>
        </w:drawing>
      </w:r>
    </w:p>
    <w:p w:rsidR="002D2845" w:rsidRDefault="002D2845"/>
    <w:sectPr w:rsidR="002D2845" w:rsidSect="006C6B8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A0D31"/>
    <w:multiLevelType w:val="hybridMultilevel"/>
    <w:tmpl w:val="8446DF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E866650"/>
    <w:multiLevelType w:val="hybridMultilevel"/>
    <w:tmpl w:val="AA9CA2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19F28AD"/>
    <w:multiLevelType w:val="hybridMultilevel"/>
    <w:tmpl w:val="726C33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2F0331C"/>
    <w:multiLevelType w:val="hybridMultilevel"/>
    <w:tmpl w:val="E49CE23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53B1B30"/>
    <w:multiLevelType w:val="hybridMultilevel"/>
    <w:tmpl w:val="617AF4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4120C8C"/>
    <w:multiLevelType w:val="hybridMultilevel"/>
    <w:tmpl w:val="13D8A2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A094CEA"/>
    <w:multiLevelType w:val="hybridMultilevel"/>
    <w:tmpl w:val="03982F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B907907"/>
    <w:multiLevelType w:val="hybridMultilevel"/>
    <w:tmpl w:val="5D6C970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D8A32B6"/>
    <w:multiLevelType w:val="hybridMultilevel"/>
    <w:tmpl w:val="7FB000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1EF4BC0"/>
    <w:multiLevelType w:val="hybridMultilevel"/>
    <w:tmpl w:val="8E92F6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33F2E73"/>
    <w:multiLevelType w:val="hybridMultilevel"/>
    <w:tmpl w:val="54FEF7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4210E3E"/>
    <w:multiLevelType w:val="hybridMultilevel"/>
    <w:tmpl w:val="46D4C3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90A6E8C"/>
    <w:multiLevelType w:val="hybridMultilevel"/>
    <w:tmpl w:val="9C18AE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9343A0E"/>
    <w:multiLevelType w:val="hybridMultilevel"/>
    <w:tmpl w:val="AFE6B4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FF01F39"/>
    <w:multiLevelType w:val="hybridMultilevel"/>
    <w:tmpl w:val="02223A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74D1BBF"/>
    <w:multiLevelType w:val="hybridMultilevel"/>
    <w:tmpl w:val="32544A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8551BD5"/>
    <w:multiLevelType w:val="hybridMultilevel"/>
    <w:tmpl w:val="C912459E"/>
    <w:lvl w:ilvl="0" w:tplc="74185FCC">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nsid w:val="49586966"/>
    <w:multiLevelType w:val="hybridMultilevel"/>
    <w:tmpl w:val="76F4CF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5C3588D"/>
    <w:multiLevelType w:val="hybridMultilevel"/>
    <w:tmpl w:val="C8C4A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E1E6DAC"/>
    <w:multiLevelType w:val="hybridMultilevel"/>
    <w:tmpl w:val="7F648D20"/>
    <w:lvl w:ilvl="0" w:tplc="04160001">
      <w:start w:val="1"/>
      <w:numFmt w:val="bullet"/>
      <w:lvlText w:val=""/>
      <w:lvlJc w:val="left"/>
      <w:pPr>
        <w:ind w:left="436" w:hanging="360"/>
      </w:pPr>
      <w:rPr>
        <w:rFonts w:ascii="Symbol" w:hAnsi="Symbol" w:hint="default"/>
      </w:rPr>
    </w:lvl>
    <w:lvl w:ilvl="1" w:tplc="04160003" w:tentative="1">
      <w:start w:val="1"/>
      <w:numFmt w:val="bullet"/>
      <w:lvlText w:val="o"/>
      <w:lvlJc w:val="left"/>
      <w:pPr>
        <w:ind w:left="1156" w:hanging="360"/>
      </w:pPr>
      <w:rPr>
        <w:rFonts w:ascii="Courier New" w:hAnsi="Courier New" w:cs="Courier New" w:hint="default"/>
      </w:rPr>
    </w:lvl>
    <w:lvl w:ilvl="2" w:tplc="04160005" w:tentative="1">
      <w:start w:val="1"/>
      <w:numFmt w:val="bullet"/>
      <w:lvlText w:val=""/>
      <w:lvlJc w:val="left"/>
      <w:pPr>
        <w:ind w:left="1876" w:hanging="360"/>
      </w:pPr>
      <w:rPr>
        <w:rFonts w:ascii="Wingdings" w:hAnsi="Wingdings" w:hint="default"/>
      </w:rPr>
    </w:lvl>
    <w:lvl w:ilvl="3" w:tplc="04160001" w:tentative="1">
      <w:start w:val="1"/>
      <w:numFmt w:val="bullet"/>
      <w:lvlText w:val=""/>
      <w:lvlJc w:val="left"/>
      <w:pPr>
        <w:ind w:left="2596" w:hanging="360"/>
      </w:pPr>
      <w:rPr>
        <w:rFonts w:ascii="Symbol" w:hAnsi="Symbol" w:hint="default"/>
      </w:rPr>
    </w:lvl>
    <w:lvl w:ilvl="4" w:tplc="04160003" w:tentative="1">
      <w:start w:val="1"/>
      <w:numFmt w:val="bullet"/>
      <w:lvlText w:val="o"/>
      <w:lvlJc w:val="left"/>
      <w:pPr>
        <w:ind w:left="3316" w:hanging="360"/>
      </w:pPr>
      <w:rPr>
        <w:rFonts w:ascii="Courier New" w:hAnsi="Courier New" w:cs="Courier New" w:hint="default"/>
      </w:rPr>
    </w:lvl>
    <w:lvl w:ilvl="5" w:tplc="04160005" w:tentative="1">
      <w:start w:val="1"/>
      <w:numFmt w:val="bullet"/>
      <w:lvlText w:val=""/>
      <w:lvlJc w:val="left"/>
      <w:pPr>
        <w:ind w:left="4036" w:hanging="360"/>
      </w:pPr>
      <w:rPr>
        <w:rFonts w:ascii="Wingdings" w:hAnsi="Wingdings" w:hint="default"/>
      </w:rPr>
    </w:lvl>
    <w:lvl w:ilvl="6" w:tplc="04160001" w:tentative="1">
      <w:start w:val="1"/>
      <w:numFmt w:val="bullet"/>
      <w:lvlText w:val=""/>
      <w:lvlJc w:val="left"/>
      <w:pPr>
        <w:ind w:left="4756" w:hanging="360"/>
      </w:pPr>
      <w:rPr>
        <w:rFonts w:ascii="Symbol" w:hAnsi="Symbol" w:hint="default"/>
      </w:rPr>
    </w:lvl>
    <w:lvl w:ilvl="7" w:tplc="04160003" w:tentative="1">
      <w:start w:val="1"/>
      <w:numFmt w:val="bullet"/>
      <w:lvlText w:val="o"/>
      <w:lvlJc w:val="left"/>
      <w:pPr>
        <w:ind w:left="5476" w:hanging="360"/>
      </w:pPr>
      <w:rPr>
        <w:rFonts w:ascii="Courier New" w:hAnsi="Courier New" w:cs="Courier New" w:hint="default"/>
      </w:rPr>
    </w:lvl>
    <w:lvl w:ilvl="8" w:tplc="04160005" w:tentative="1">
      <w:start w:val="1"/>
      <w:numFmt w:val="bullet"/>
      <w:lvlText w:val=""/>
      <w:lvlJc w:val="left"/>
      <w:pPr>
        <w:ind w:left="6196" w:hanging="360"/>
      </w:pPr>
      <w:rPr>
        <w:rFonts w:ascii="Wingdings" w:hAnsi="Wingdings" w:hint="default"/>
      </w:rPr>
    </w:lvl>
  </w:abstractNum>
  <w:abstractNum w:abstractNumId="20">
    <w:nsid w:val="722E157B"/>
    <w:multiLevelType w:val="hybridMultilevel"/>
    <w:tmpl w:val="1D7EEA0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78202A34"/>
    <w:multiLevelType w:val="hybridMultilevel"/>
    <w:tmpl w:val="7E18C9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2"/>
  </w:num>
  <w:num w:numId="5">
    <w:abstractNumId w:val="12"/>
  </w:num>
  <w:num w:numId="6">
    <w:abstractNumId w:val="5"/>
  </w:num>
  <w:num w:numId="7">
    <w:abstractNumId w:val="6"/>
  </w:num>
  <w:num w:numId="8">
    <w:abstractNumId w:val="15"/>
  </w:num>
  <w:num w:numId="9">
    <w:abstractNumId w:val="20"/>
  </w:num>
  <w:num w:numId="10">
    <w:abstractNumId w:val="18"/>
  </w:num>
  <w:num w:numId="11">
    <w:abstractNumId w:val="9"/>
  </w:num>
  <w:num w:numId="12">
    <w:abstractNumId w:val="10"/>
  </w:num>
  <w:num w:numId="13">
    <w:abstractNumId w:val="8"/>
  </w:num>
  <w:num w:numId="14">
    <w:abstractNumId w:val="19"/>
  </w:num>
  <w:num w:numId="15">
    <w:abstractNumId w:val="17"/>
  </w:num>
  <w:num w:numId="16">
    <w:abstractNumId w:val="21"/>
  </w:num>
  <w:num w:numId="17">
    <w:abstractNumId w:val="13"/>
  </w:num>
  <w:num w:numId="18">
    <w:abstractNumId w:val="16"/>
  </w:num>
  <w:num w:numId="19">
    <w:abstractNumId w:val="1"/>
  </w:num>
  <w:num w:numId="20">
    <w:abstractNumId w:val="11"/>
  </w:num>
  <w:num w:numId="21">
    <w:abstractNumId w:val="14"/>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D2845"/>
    <w:rsid w:val="000D2262"/>
    <w:rsid w:val="002D2845"/>
    <w:rsid w:val="003E3955"/>
    <w:rsid w:val="00527D92"/>
    <w:rsid w:val="006C6B8B"/>
    <w:rsid w:val="0072037D"/>
    <w:rsid w:val="007A4697"/>
    <w:rsid w:val="00841E3B"/>
    <w:rsid w:val="00AD04A3"/>
    <w:rsid w:val="00EB4659"/>
    <w:rsid w:val="00F0064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845"/>
    <w:pPr>
      <w:spacing w:after="0" w:line="240" w:lineRule="auto"/>
    </w:pPr>
    <w:rPr>
      <w:rFonts w:ascii="Times New Roman" w:eastAsia="SimSun" w:hAnsi="Times New Roman" w:cs="Times New Roman"/>
      <w:sz w:val="24"/>
      <w:szCs w:val="24"/>
      <w:lang w:eastAsia="zh-CN"/>
    </w:rPr>
  </w:style>
  <w:style w:type="paragraph" w:styleId="Ttulo1">
    <w:name w:val="heading 1"/>
    <w:basedOn w:val="Normal"/>
    <w:next w:val="Normal"/>
    <w:link w:val="Ttulo1Char"/>
    <w:uiPriority w:val="9"/>
    <w:qFormat/>
    <w:rsid w:val="002D28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2D28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link w:val="SemEspaamentoChar"/>
    <w:uiPriority w:val="1"/>
    <w:qFormat/>
    <w:rsid w:val="002D2845"/>
    <w:pPr>
      <w:spacing w:after="0" w:line="240" w:lineRule="auto"/>
    </w:pPr>
    <w:rPr>
      <w:rFonts w:ascii="Calibri" w:eastAsia="Times New Roman" w:hAnsi="Calibri" w:cs="Times New Roman"/>
    </w:rPr>
  </w:style>
  <w:style w:type="character" w:customStyle="1" w:styleId="SemEspaamentoChar">
    <w:name w:val="Sem Espaçamento Char"/>
    <w:link w:val="SemEspaamento"/>
    <w:uiPriority w:val="1"/>
    <w:rsid w:val="002D2845"/>
    <w:rPr>
      <w:rFonts w:ascii="Calibri" w:eastAsia="Times New Roman" w:hAnsi="Calibri" w:cs="Times New Roman"/>
    </w:rPr>
  </w:style>
  <w:style w:type="paragraph" w:styleId="Sumrio1">
    <w:name w:val="toc 1"/>
    <w:basedOn w:val="Normal"/>
    <w:next w:val="Normal"/>
    <w:autoRedefine/>
    <w:uiPriority w:val="39"/>
    <w:rsid w:val="002D2845"/>
  </w:style>
  <w:style w:type="paragraph" w:styleId="Sumrio2">
    <w:name w:val="toc 2"/>
    <w:basedOn w:val="Normal"/>
    <w:next w:val="Normal"/>
    <w:autoRedefine/>
    <w:uiPriority w:val="39"/>
    <w:rsid w:val="002D2845"/>
    <w:pPr>
      <w:ind w:left="240"/>
    </w:pPr>
  </w:style>
  <w:style w:type="character" w:styleId="Hyperlink">
    <w:name w:val="Hyperlink"/>
    <w:uiPriority w:val="99"/>
    <w:rsid w:val="002D2845"/>
    <w:rPr>
      <w:color w:val="0000FF"/>
      <w:u w:val="single"/>
    </w:rPr>
  </w:style>
  <w:style w:type="character" w:customStyle="1" w:styleId="Ttulo1Char">
    <w:name w:val="Título 1 Char"/>
    <w:basedOn w:val="Fontepargpadro"/>
    <w:link w:val="Ttulo1"/>
    <w:uiPriority w:val="9"/>
    <w:rsid w:val="002D2845"/>
    <w:rPr>
      <w:rFonts w:asciiTheme="majorHAnsi" w:eastAsiaTheme="majorEastAsia" w:hAnsiTheme="majorHAnsi" w:cstheme="majorBidi"/>
      <w:b/>
      <w:bCs/>
      <w:color w:val="365F91" w:themeColor="accent1" w:themeShade="BF"/>
      <w:sz w:val="28"/>
      <w:szCs w:val="28"/>
      <w:lang w:eastAsia="zh-CN"/>
    </w:rPr>
  </w:style>
  <w:style w:type="paragraph" w:styleId="CabealhodoSumrio">
    <w:name w:val="TOC Heading"/>
    <w:basedOn w:val="Ttulo1"/>
    <w:next w:val="Normal"/>
    <w:uiPriority w:val="39"/>
    <w:unhideWhenUsed/>
    <w:qFormat/>
    <w:rsid w:val="002D2845"/>
    <w:pPr>
      <w:spacing w:before="240" w:line="259" w:lineRule="auto"/>
      <w:outlineLvl w:val="9"/>
    </w:pPr>
    <w:rPr>
      <w:rFonts w:ascii="Calibri Light" w:eastAsia="Times New Roman" w:hAnsi="Calibri Light" w:cs="Times New Roman"/>
      <w:b w:val="0"/>
      <w:bCs w:val="0"/>
      <w:color w:val="2E74B5"/>
      <w:sz w:val="32"/>
      <w:szCs w:val="32"/>
      <w:lang w:eastAsia="pt-BR"/>
    </w:rPr>
  </w:style>
  <w:style w:type="character" w:customStyle="1" w:styleId="Ttulo2Char">
    <w:name w:val="Título 2 Char"/>
    <w:basedOn w:val="Fontepargpadro"/>
    <w:link w:val="Ttulo2"/>
    <w:uiPriority w:val="9"/>
    <w:semiHidden/>
    <w:rsid w:val="002D2845"/>
    <w:rPr>
      <w:rFonts w:asciiTheme="majorHAnsi" w:eastAsiaTheme="majorEastAsia" w:hAnsiTheme="majorHAnsi" w:cstheme="majorBidi"/>
      <w:b/>
      <w:bCs/>
      <w:color w:val="4F81BD" w:themeColor="accent1"/>
      <w:sz w:val="26"/>
      <w:szCs w:val="26"/>
      <w:lang w:eastAsia="zh-CN"/>
    </w:rPr>
  </w:style>
  <w:style w:type="paragraph" w:customStyle="1" w:styleId="NormalLatimArial">
    <w:name w:val="Normal + (Latim) Arial"/>
    <w:aliases w:val="11 pt,Justificado,À esquerda:  0,63 cm,Primeira li..."/>
    <w:basedOn w:val="Normal"/>
    <w:rsid w:val="002D2845"/>
    <w:pPr>
      <w:ind w:left="360"/>
      <w:jc w:val="both"/>
    </w:pPr>
    <w:rPr>
      <w:rFonts w:ascii="Arial" w:hAnsi="Arial" w:cs="Arial"/>
      <w:sz w:val="22"/>
      <w:szCs w:val="22"/>
    </w:rPr>
  </w:style>
  <w:style w:type="paragraph" w:styleId="PargrafodaLista">
    <w:name w:val="List Paragraph"/>
    <w:basedOn w:val="Normal"/>
    <w:uiPriority w:val="34"/>
    <w:qFormat/>
    <w:rsid w:val="002D2845"/>
    <w:pPr>
      <w:ind w:left="720"/>
      <w:contextualSpacing/>
    </w:pPr>
  </w:style>
  <w:style w:type="paragraph" w:styleId="Ttulo">
    <w:name w:val="Title"/>
    <w:basedOn w:val="Normal"/>
    <w:next w:val="Normal"/>
    <w:link w:val="TtuloChar"/>
    <w:qFormat/>
    <w:rsid w:val="002D2845"/>
    <w:pPr>
      <w:spacing w:before="240" w:after="60"/>
      <w:jc w:val="center"/>
      <w:outlineLvl w:val="0"/>
    </w:pPr>
    <w:rPr>
      <w:rFonts w:ascii="Calibri Light" w:eastAsia="Times New Roman" w:hAnsi="Calibri Light"/>
      <w:b/>
      <w:bCs/>
      <w:kern w:val="28"/>
      <w:sz w:val="32"/>
      <w:szCs w:val="32"/>
    </w:rPr>
  </w:style>
  <w:style w:type="character" w:customStyle="1" w:styleId="TtuloChar">
    <w:name w:val="Título Char"/>
    <w:basedOn w:val="Fontepargpadro"/>
    <w:link w:val="Ttulo"/>
    <w:rsid w:val="002D2845"/>
    <w:rPr>
      <w:rFonts w:ascii="Calibri Light" w:eastAsia="Times New Roman" w:hAnsi="Calibri Light" w:cs="Times New Roman"/>
      <w:b/>
      <w:bCs/>
      <w:kern w:val="28"/>
      <w:sz w:val="32"/>
      <w:szCs w:val="32"/>
      <w:lang w:eastAsia="zh-CN"/>
    </w:rPr>
  </w:style>
  <w:style w:type="paragraph" w:styleId="Subttulo">
    <w:name w:val="Subtitle"/>
    <w:basedOn w:val="Normal"/>
    <w:next w:val="Normal"/>
    <w:link w:val="SubttuloChar"/>
    <w:qFormat/>
    <w:rsid w:val="002D2845"/>
    <w:pPr>
      <w:spacing w:after="60"/>
      <w:jc w:val="center"/>
      <w:outlineLvl w:val="1"/>
    </w:pPr>
    <w:rPr>
      <w:rFonts w:ascii="Calibri Light" w:eastAsia="Times New Roman" w:hAnsi="Calibri Light"/>
    </w:rPr>
  </w:style>
  <w:style w:type="character" w:customStyle="1" w:styleId="SubttuloChar">
    <w:name w:val="Subtítulo Char"/>
    <w:basedOn w:val="Fontepargpadro"/>
    <w:link w:val="Subttulo"/>
    <w:rsid w:val="002D2845"/>
    <w:rPr>
      <w:rFonts w:ascii="Calibri Light" w:eastAsia="Times New Roman" w:hAnsi="Calibri Light" w:cs="Times New Roman"/>
      <w:sz w:val="24"/>
      <w:szCs w:val="24"/>
      <w:lang w:eastAsia="zh-CN"/>
    </w:rPr>
  </w:style>
  <w:style w:type="paragraph" w:styleId="Textodebalo">
    <w:name w:val="Balloon Text"/>
    <w:basedOn w:val="Normal"/>
    <w:link w:val="TextodebaloChar"/>
    <w:uiPriority w:val="99"/>
    <w:semiHidden/>
    <w:unhideWhenUsed/>
    <w:rsid w:val="002D2845"/>
    <w:rPr>
      <w:rFonts w:ascii="Tahoma" w:hAnsi="Tahoma" w:cs="Tahoma"/>
      <w:sz w:val="16"/>
      <w:szCs w:val="16"/>
    </w:rPr>
  </w:style>
  <w:style w:type="character" w:customStyle="1" w:styleId="TextodebaloChar">
    <w:name w:val="Texto de balão Char"/>
    <w:basedOn w:val="Fontepargpadro"/>
    <w:link w:val="Textodebalo"/>
    <w:uiPriority w:val="99"/>
    <w:semiHidden/>
    <w:rsid w:val="002D2845"/>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22</Pages>
  <Words>6280</Words>
  <Characters>33915</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eliseu</dc:creator>
  <cp:lastModifiedBy>eliseu</cp:lastModifiedBy>
  <cp:revision>2</cp:revision>
  <cp:lastPrinted>2014-11-25T16:54:00Z</cp:lastPrinted>
  <dcterms:created xsi:type="dcterms:W3CDTF">2014-11-20T12:25:00Z</dcterms:created>
  <dcterms:modified xsi:type="dcterms:W3CDTF">2014-11-25T18:54:00Z</dcterms:modified>
</cp:coreProperties>
</file>